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D1" w:rsidRDefault="00C30DD1">
      <w:bookmarkStart w:id="0" w:name="_GoBack"/>
      <w:bookmarkEnd w:id="0"/>
      <w:r>
        <w:rPr>
          <w:noProof/>
        </w:rPr>
        <w:drawing>
          <wp:anchor distT="0" distB="0" distL="114300" distR="114300" simplePos="0" relativeHeight="251659264" behindDoc="0" locked="0" layoutInCell="1" allowOverlap="1">
            <wp:simplePos x="0" y="0"/>
            <wp:positionH relativeFrom="column">
              <wp:posOffset>342900</wp:posOffset>
            </wp:positionH>
            <wp:positionV relativeFrom="paragraph">
              <wp:posOffset>200025</wp:posOffset>
            </wp:positionV>
            <wp:extent cx="2247900" cy="2000250"/>
            <wp:effectExtent l="19050" t="0" r="0" b="0"/>
            <wp:wrapNone/>
            <wp:docPr id="4" name="Picture 3" descr="mi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_logo.jpg"/>
                    <pic:cNvPicPr/>
                  </pic:nvPicPr>
                  <pic:blipFill>
                    <a:blip r:embed="rId8" cstate="print"/>
                    <a:stretch>
                      <a:fillRect/>
                    </a:stretch>
                  </pic:blipFill>
                  <pic:spPr>
                    <a:xfrm>
                      <a:off x="0" y="0"/>
                      <a:ext cx="2247900" cy="2000250"/>
                    </a:xfrm>
                    <a:prstGeom prst="rect">
                      <a:avLst/>
                    </a:prstGeom>
                  </pic:spPr>
                </pic:pic>
              </a:graphicData>
            </a:graphic>
          </wp:anchor>
        </w:drawing>
      </w:r>
    </w:p>
    <w:p w:rsidR="00C30DD1" w:rsidRDefault="00C30DD1">
      <w:r>
        <w:rPr>
          <w:noProof/>
        </w:rPr>
        <w:drawing>
          <wp:anchor distT="0" distB="0" distL="114300" distR="114300" simplePos="0" relativeHeight="251658240" behindDoc="0" locked="0" layoutInCell="1" allowOverlap="1">
            <wp:simplePos x="0" y="0"/>
            <wp:positionH relativeFrom="column">
              <wp:posOffset>3295650</wp:posOffset>
            </wp:positionH>
            <wp:positionV relativeFrom="paragraph">
              <wp:posOffset>29210</wp:posOffset>
            </wp:positionV>
            <wp:extent cx="1990725" cy="1733550"/>
            <wp:effectExtent l="19050" t="0" r="9525" b="0"/>
            <wp:wrapNone/>
            <wp:docPr id="2" name="Picture 1" descr="PHLogo2ColorJPE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_000.jpg"/>
                    <pic:cNvPicPr/>
                  </pic:nvPicPr>
                  <pic:blipFill>
                    <a:blip r:embed="rId9" cstate="print"/>
                    <a:stretch>
                      <a:fillRect/>
                    </a:stretch>
                  </pic:blipFill>
                  <pic:spPr>
                    <a:xfrm>
                      <a:off x="0" y="0"/>
                      <a:ext cx="1990725" cy="1733550"/>
                    </a:xfrm>
                    <a:prstGeom prst="rect">
                      <a:avLst/>
                    </a:prstGeom>
                  </pic:spPr>
                </pic:pic>
              </a:graphicData>
            </a:graphic>
          </wp:anchor>
        </w:drawing>
      </w:r>
    </w:p>
    <w:p w:rsidR="00C30DD1" w:rsidRDefault="00C30DD1"/>
    <w:p w:rsidR="00C30DD1" w:rsidRDefault="00C30DD1"/>
    <w:p w:rsidR="00C30DD1" w:rsidRDefault="00C30DD1"/>
    <w:p w:rsidR="00C30DD1" w:rsidRDefault="00C30DD1"/>
    <w:p w:rsidR="00C30DD1" w:rsidRDefault="00C30DD1"/>
    <w:p w:rsidR="00C30DD1" w:rsidRDefault="00C30DD1"/>
    <w:p w:rsidR="00C30DD1" w:rsidRPr="00C30DD1" w:rsidRDefault="00C30DD1" w:rsidP="00C30DD1">
      <w:pPr>
        <w:jc w:val="center"/>
        <w:rPr>
          <w:b/>
          <w:sz w:val="72"/>
          <w:szCs w:val="72"/>
        </w:rPr>
      </w:pPr>
      <w:r w:rsidRPr="00C30DD1">
        <w:rPr>
          <w:b/>
          <w:sz w:val="72"/>
          <w:szCs w:val="72"/>
        </w:rPr>
        <w:t>Community Health Assessment</w:t>
      </w:r>
    </w:p>
    <w:p w:rsidR="00C432B2" w:rsidRDefault="00C30DD1" w:rsidP="00C30DD1">
      <w:pPr>
        <w:jc w:val="center"/>
        <w:rPr>
          <w:i/>
          <w:sz w:val="72"/>
          <w:szCs w:val="72"/>
        </w:rPr>
      </w:pPr>
      <w:r w:rsidRPr="00C30DD1">
        <w:rPr>
          <w:i/>
          <w:sz w:val="72"/>
          <w:szCs w:val="72"/>
        </w:rPr>
        <w:t>Pulaski County</w:t>
      </w:r>
      <w:r>
        <w:rPr>
          <w:i/>
          <w:sz w:val="72"/>
          <w:szCs w:val="72"/>
        </w:rPr>
        <w:t xml:space="preserve"> </w:t>
      </w:r>
      <w:r w:rsidRPr="00C30DD1">
        <w:rPr>
          <w:i/>
          <w:sz w:val="72"/>
          <w:szCs w:val="72"/>
        </w:rPr>
        <w:t xml:space="preserve">Health Department </w:t>
      </w:r>
    </w:p>
    <w:p w:rsidR="00C30DD1" w:rsidRPr="00C432B2" w:rsidRDefault="00C30DD1" w:rsidP="00C30DD1">
      <w:pPr>
        <w:jc w:val="center"/>
        <w:rPr>
          <w:i/>
          <w:sz w:val="72"/>
          <w:szCs w:val="72"/>
        </w:rPr>
      </w:pPr>
      <w:r>
        <w:rPr>
          <w:i/>
          <w:sz w:val="72"/>
          <w:szCs w:val="72"/>
        </w:rPr>
        <w:t xml:space="preserve">Pulaski County </w:t>
      </w:r>
      <w:r w:rsidRPr="00C30DD1">
        <w:rPr>
          <w:i/>
          <w:sz w:val="72"/>
          <w:szCs w:val="72"/>
        </w:rPr>
        <w:t>Home Health Agency</w:t>
      </w:r>
    </w:p>
    <w:p w:rsidR="00C30DD1" w:rsidRDefault="00C30DD1" w:rsidP="00C30DD1">
      <w:pPr>
        <w:jc w:val="center"/>
        <w:rPr>
          <w:sz w:val="72"/>
          <w:szCs w:val="72"/>
        </w:rPr>
      </w:pPr>
    </w:p>
    <w:p w:rsidR="00C30DD1" w:rsidRDefault="00C30DD1" w:rsidP="00C30DD1">
      <w:pPr>
        <w:jc w:val="center"/>
        <w:rPr>
          <w:sz w:val="72"/>
          <w:szCs w:val="72"/>
        </w:rPr>
      </w:pPr>
      <w:r w:rsidRPr="00C30DD1">
        <w:rPr>
          <w:sz w:val="72"/>
          <w:szCs w:val="72"/>
        </w:rPr>
        <w:t>FFY 2010</w:t>
      </w:r>
    </w:p>
    <w:p w:rsidR="00C432B2" w:rsidRDefault="00C432B2" w:rsidP="00C30DD1">
      <w:pPr>
        <w:jc w:val="center"/>
        <w:rPr>
          <w:sz w:val="24"/>
          <w:szCs w:val="24"/>
        </w:rPr>
      </w:pPr>
    </w:p>
    <w:p w:rsidR="00681E51" w:rsidRDefault="00681E51" w:rsidP="00C30DD1">
      <w:pPr>
        <w:jc w:val="center"/>
        <w:rPr>
          <w:sz w:val="24"/>
          <w:szCs w:val="24"/>
        </w:rPr>
      </w:pPr>
    </w:p>
    <w:p w:rsidR="00755D64" w:rsidRDefault="00755D64" w:rsidP="00C30DD1">
      <w:pPr>
        <w:jc w:val="center"/>
        <w:rPr>
          <w:sz w:val="24"/>
          <w:szCs w:val="24"/>
        </w:rPr>
      </w:pPr>
    </w:p>
    <w:p w:rsidR="00755D64" w:rsidRDefault="00755D64" w:rsidP="00C30DD1">
      <w:pPr>
        <w:jc w:val="center"/>
        <w:rPr>
          <w:sz w:val="24"/>
          <w:szCs w:val="24"/>
        </w:rPr>
      </w:pPr>
    </w:p>
    <w:p w:rsidR="001E0BC4" w:rsidRDefault="001E0BC4" w:rsidP="00BB3873">
      <w:pPr>
        <w:pStyle w:val="Heading1"/>
      </w:pPr>
    </w:p>
    <w:p w:rsidR="00162809" w:rsidRDefault="00BB3873" w:rsidP="00BB3873">
      <w:pPr>
        <w:pStyle w:val="Heading1"/>
      </w:pPr>
      <w:r>
        <w:t>Table of Contents</w:t>
      </w:r>
    </w:p>
    <w:p w:rsidR="001E0BC4" w:rsidRDefault="001E0BC4" w:rsidP="00BB3873">
      <w:pPr>
        <w:pStyle w:val="NoSpacing"/>
        <w:rPr>
          <w:b/>
        </w:rPr>
      </w:pPr>
    </w:p>
    <w:p w:rsidR="00BB3873" w:rsidRDefault="001E0BC4" w:rsidP="00BB3873">
      <w:pPr>
        <w:pStyle w:val="NoSpacing"/>
        <w:rPr>
          <w:b/>
        </w:rPr>
      </w:pPr>
      <w:r>
        <w:rPr>
          <w:b/>
        </w:rPr>
        <w:tab/>
      </w:r>
      <w:r w:rsidR="00BB3873">
        <w:rPr>
          <w:b/>
        </w:rPr>
        <w:t>Demographics/Educational/Socioeconomic Indicators</w:t>
      </w:r>
      <w:r w:rsidR="00BB3873">
        <w:rPr>
          <w:b/>
        </w:rPr>
        <w:tab/>
      </w:r>
      <w:r w:rsidR="00BB3873">
        <w:rPr>
          <w:b/>
        </w:rPr>
        <w:tab/>
      </w:r>
      <w:r w:rsidR="00BB3873">
        <w:rPr>
          <w:b/>
        </w:rPr>
        <w:tab/>
        <w:t xml:space="preserve"> </w:t>
      </w:r>
      <w:r w:rsidR="00BB3873">
        <w:rPr>
          <w:b/>
        </w:rPr>
        <w:tab/>
      </w:r>
      <w:r w:rsidR="00BB3873">
        <w:rPr>
          <w:b/>
        </w:rPr>
        <w:tab/>
        <w:t>3</w:t>
      </w:r>
    </w:p>
    <w:p w:rsidR="00BB3873" w:rsidRDefault="00BB3873" w:rsidP="00BB3873">
      <w:pPr>
        <w:pStyle w:val="NoSpacing"/>
      </w:pPr>
      <w:r>
        <w:tab/>
      </w:r>
      <w:r w:rsidR="001E0BC4">
        <w:tab/>
      </w:r>
      <w:r>
        <w:t>Population Change</w:t>
      </w:r>
      <w:r>
        <w:tab/>
      </w:r>
      <w:r>
        <w:tab/>
      </w:r>
      <w:r>
        <w:tab/>
      </w:r>
      <w:r>
        <w:tab/>
      </w:r>
      <w:r>
        <w:tab/>
      </w:r>
      <w:r>
        <w:tab/>
      </w:r>
      <w:r>
        <w:tab/>
      </w:r>
      <w:r>
        <w:tab/>
        <w:t>3</w:t>
      </w:r>
    </w:p>
    <w:p w:rsidR="00BB3873" w:rsidRDefault="00BB3873" w:rsidP="00BB3873">
      <w:pPr>
        <w:pStyle w:val="NoSpacing"/>
      </w:pPr>
      <w:r>
        <w:tab/>
      </w:r>
      <w:r w:rsidR="001E0BC4">
        <w:tab/>
      </w:r>
      <w:r>
        <w:t>Racial Diversity</w:t>
      </w:r>
      <w:r>
        <w:tab/>
      </w:r>
      <w:r>
        <w:tab/>
      </w:r>
      <w:r>
        <w:tab/>
      </w:r>
      <w:r>
        <w:tab/>
      </w:r>
      <w:r>
        <w:tab/>
      </w:r>
      <w:r>
        <w:tab/>
      </w:r>
      <w:r>
        <w:tab/>
      </w:r>
      <w:r>
        <w:tab/>
      </w:r>
      <w:r>
        <w:tab/>
        <w:t>4</w:t>
      </w:r>
    </w:p>
    <w:p w:rsidR="00BB3873" w:rsidRDefault="00BB3873" w:rsidP="00BB3873">
      <w:pPr>
        <w:pStyle w:val="NoSpacing"/>
      </w:pPr>
      <w:r>
        <w:tab/>
      </w:r>
      <w:r w:rsidR="001E0BC4">
        <w:tab/>
      </w:r>
      <w:r>
        <w:t>Educational Attainment</w:t>
      </w:r>
      <w:r>
        <w:tab/>
      </w:r>
      <w:r>
        <w:tab/>
      </w:r>
      <w:r>
        <w:tab/>
      </w:r>
      <w:r>
        <w:tab/>
      </w:r>
      <w:r>
        <w:tab/>
      </w:r>
      <w:r>
        <w:tab/>
      </w:r>
      <w:r>
        <w:tab/>
      </w:r>
      <w:r>
        <w:tab/>
        <w:t>4</w:t>
      </w:r>
    </w:p>
    <w:p w:rsidR="00BB3873" w:rsidRDefault="00BB3873" w:rsidP="00BB3873">
      <w:pPr>
        <w:pStyle w:val="NoSpacing"/>
      </w:pPr>
      <w:r>
        <w:tab/>
      </w:r>
      <w:r w:rsidR="001E0BC4">
        <w:tab/>
      </w:r>
      <w:r>
        <w:t>Housing, Household, and Families</w:t>
      </w:r>
      <w:r>
        <w:tab/>
      </w:r>
      <w:r>
        <w:tab/>
      </w:r>
      <w:r>
        <w:tab/>
      </w:r>
      <w:r>
        <w:tab/>
      </w:r>
      <w:r>
        <w:tab/>
      </w:r>
      <w:r>
        <w:tab/>
        <w:t>5</w:t>
      </w:r>
    </w:p>
    <w:p w:rsidR="00BB3873" w:rsidRDefault="00BB3873" w:rsidP="00BB3873">
      <w:pPr>
        <w:pStyle w:val="NoSpacing"/>
      </w:pPr>
      <w:r>
        <w:tab/>
      </w:r>
      <w:r w:rsidR="001E0BC4">
        <w:tab/>
      </w:r>
      <w:r>
        <w:t>County Income Patterns</w:t>
      </w:r>
      <w:r>
        <w:tab/>
      </w:r>
      <w:r>
        <w:tab/>
      </w:r>
      <w:r>
        <w:tab/>
      </w:r>
      <w:r>
        <w:tab/>
      </w:r>
      <w:r>
        <w:tab/>
      </w:r>
      <w:r>
        <w:tab/>
      </w:r>
      <w:r>
        <w:tab/>
      </w:r>
      <w:r>
        <w:tab/>
      </w:r>
      <w:r w:rsidR="00933406">
        <w:t>5</w:t>
      </w:r>
    </w:p>
    <w:p w:rsidR="00BB3873" w:rsidRDefault="00BB3873" w:rsidP="00BB3873">
      <w:pPr>
        <w:pStyle w:val="NoSpacing"/>
      </w:pPr>
    </w:p>
    <w:p w:rsidR="00BB3873" w:rsidRDefault="001E0BC4" w:rsidP="00BB3873">
      <w:pPr>
        <w:pStyle w:val="NoSpacing"/>
        <w:rPr>
          <w:b/>
        </w:rPr>
      </w:pPr>
      <w:r>
        <w:rPr>
          <w:b/>
        </w:rPr>
        <w:tab/>
      </w:r>
      <w:r w:rsidR="00BB3873">
        <w:rPr>
          <w:b/>
        </w:rPr>
        <w:t>Environmental Health Risk Factors</w:t>
      </w:r>
      <w:r w:rsidR="00BB3873">
        <w:rPr>
          <w:b/>
        </w:rPr>
        <w:tab/>
      </w:r>
      <w:r w:rsidR="00BB3873">
        <w:rPr>
          <w:b/>
        </w:rPr>
        <w:tab/>
      </w:r>
      <w:r w:rsidR="00BB3873">
        <w:rPr>
          <w:b/>
        </w:rPr>
        <w:tab/>
      </w:r>
      <w:r w:rsidR="00BB3873">
        <w:rPr>
          <w:b/>
        </w:rPr>
        <w:tab/>
      </w:r>
      <w:r w:rsidR="00BB3873">
        <w:rPr>
          <w:b/>
        </w:rPr>
        <w:tab/>
      </w:r>
      <w:r w:rsidR="00BB3873">
        <w:rPr>
          <w:b/>
        </w:rPr>
        <w:tab/>
      </w:r>
      <w:r w:rsidR="00BB3873">
        <w:rPr>
          <w:b/>
        </w:rPr>
        <w:tab/>
        <w:t>6</w:t>
      </w:r>
    </w:p>
    <w:p w:rsidR="00BB3873" w:rsidRDefault="00BB3873" w:rsidP="00BB3873">
      <w:pPr>
        <w:pStyle w:val="NoSpacing"/>
      </w:pPr>
      <w:r>
        <w:tab/>
      </w:r>
      <w:r w:rsidR="001E0BC4">
        <w:tab/>
      </w:r>
      <w:r>
        <w:t>Housing</w:t>
      </w:r>
      <w:r>
        <w:tab/>
      </w:r>
      <w:r>
        <w:tab/>
      </w:r>
      <w:r>
        <w:tab/>
      </w:r>
      <w:r>
        <w:tab/>
      </w:r>
      <w:r>
        <w:tab/>
      </w:r>
      <w:r>
        <w:tab/>
      </w:r>
      <w:r>
        <w:tab/>
      </w:r>
      <w:r>
        <w:tab/>
      </w:r>
      <w:r>
        <w:tab/>
        <w:t>6</w:t>
      </w:r>
    </w:p>
    <w:p w:rsidR="00BB3873" w:rsidRDefault="00BB3873" w:rsidP="00BB3873">
      <w:pPr>
        <w:pStyle w:val="NoSpacing"/>
      </w:pPr>
      <w:r>
        <w:tab/>
      </w:r>
      <w:r w:rsidR="001E0BC4">
        <w:tab/>
      </w:r>
      <w:r>
        <w:t>Lead Testing</w:t>
      </w:r>
      <w:r>
        <w:tab/>
      </w:r>
      <w:r>
        <w:tab/>
      </w:r>
      <w:r>
        <w:tab/>
      </w:r>
      <w:r>
        <w:tab/>
      </w:r>
      <w:r>
        <w:tab/>
      </w:r>
      <w:r>
        <w:tab/>
      </w:r>
      <w:r>
        <w:tab/>
      </w:r>
      <w:r>
        <w:tab/>
      </w:r>
      <w:r>
        <w:tab/>
        <w:t>6</w:t>
      </w:r>
    </w:p>
    <w:p w:rsidR="00BB3873" w:rsidRDefault="00BB3873" w:rsidP="00BB3873">
      <w:pPr>
        <w:pStyle w:val="NoSpacing"/>
      </w:pPr>
      <w:r>
        <w:tab/>
      </w:r>
      <w:r w:rsidR="001E0BC4">
        <w:tab/>
      </w:r>
      <w:r>
        <w:t>Public Water Supp</w:t>
      </w:r>
      <w:r w:rsidR="00933406">
        <w:t>lies</w:t>
      </w:r>
      <w:r>
        <w:tab/>
      </w:r>
      <w:r>
        <w:tab/>
      </w:r>
      <w:r>
        <w:tab/>
      </w:r>
      <w:r>
        <w:tab/>
      </w:r>
      <w:r>
        <w:tab/>
      </w:r>
      <w:r>
        <w:tab/>
      </w:r>
      <w:r>
        <w:tab/>
      </w:r>
      <w:r>
        <w:tab/>
        <w:t>6</w:t>
      </w:r>
    </w:p>
    <w:p w:rsidR="00BB3873" w:rsidRDefault="00BB3873" w:rsidP="00BB3873">
      <w:pPr>
        <w:pStyle w:val="NoSpacing"/>
      </w:pPr>
      <w:r>
        <w:tab/>
      </w:r>
      <w:r w:rsidR="001E0BC4">
        <w:tab/>
      </w:r>
      <w:r>
        <w:t>Food, Lodging, and Day Care Safety</w:t>
      </w:r>
      <w:r>
        <w:tab/>
      </w:r>
      <w:r>
        <w:tab/>
      </w:r>
      <w:r>
        <w:tab/>
      </w:r>
      <w:r>
        <w:tab/>
      </w:r>
      <w:r>
        <w:tab/>
      </w:r>
      <w:r>
        <w:tab/>
        <w:t>7</w:t>
      </w:r>
    </w:p>
    <w:p w:rsidR="00BB3873" w:rsidRDefault="00BB3873" w:rsidP="00BB3873">
      <w:pPr>
        <w:pStyle w:val="NoSpacing"/>
      </w:pPr>
    </w:p>
    <w:p w:rsidR="00BB3873" w:rsidRDefault="001E0BC4" w:rsidP="00BB3873">
      <w:pPr>
        <w:pStyle w:val="NoSpacing"/>
        <w:rPr>
          <w:b/>
        </w:rPr>
      </w:pPr>
      <w:r>
        <w:rPr>
          <w:b/>
        </w:rPr>
        <w:tab/>
      </w:r>
      <w:r w:rsidR="00BB3873">
        <w:rPr>
          <w:b/>
        </w:rPr>
        <w:t>Public Safety/Domestic Violence</w:t>
      </w:r>
      <w:r w:rsidR="00BB3873">
        <w:rPr>
          <w:b/>
        </w:rPr>
        <w:tab/>
      </w:r>
      <w:r w:rsidR="00BB3873">
        <w:rPr>
          <w:b/>
        </w:rPr>
        <w:tab/>
      </w:r>
      <w:r w:rsidR="00BB3873">
        <w:rPr>
          <w:b/>
        </w:rPr>
        <w:tab/>
      </w:r>
      <w:r w:rsidR="00BB3873">
        <w:rPr>
          <w:b/>
        </w:rPr>
        <w:tab/>
      </w:r>
      <w:r w:rsidR="00BB3873">
        <w:rPr>
          <w:b/>
        </w:rPr>
        <w:tab/>
      </w:r>
      <w:r w:rsidR="00BB3873">
        <w:rPr>
          <w:b/>
        </w:rPr>
        <w:tab/>
      </w:r>
      <w:r w:rsidR="00BB3873">
        <w:rPr>
          <w:b/>
        </w:rPr>
        <w:tab/>
        <w:t>7</w:t>
      </w:r>
    </w:p>
    <w:p w:rsidR="00BB3873" w:rsidRDefault="00BB3873" w:rsidP="00BB3873">
      <w:pPr>
        <w:pStyle w:val="NoSpacing"/>
      </w:pPr>
      <w:r>
        <w:rPr>
          <w:b/>
        </w:rPr>
        <w:tab/>
      </w:r>
      <w:r w:rsidR="001E0BC4">
        <w:rPr>
          <w:b/>
        </w:rPr>
        <w:tab/>
      </w:r>
      <w:r>
        <w:t>Crime Rates</w:t>
      </w:r>
      <w:r>
        <w:tab/>
      </w:r>
      <w:r>
        <w:tab/>
      </w:r>
      <w:r>
        <w:tab/>
      </w:r>
      <w:r>
        <w:tab/>
      </w:r>
      <w:r>
        <w:tab/>
      </w:r>
      <w:r>
        <w:tab/>
      </w:r>
      <w:r>
        <w:tab/>
      </w:r>
      <w:r>
        <w:tab/>
      </w:r>
      <w:r>
        <w:tab/>
        <w:t>7</w:t>
      </w:r>
    </w:p>
    <w:p w:rsidR="001E0BC4" w:rsidRDefault="00BB3873" w:rsidP="00BB3873">
      <w:pPr>
        <w:pStyle w:val="NoSpacing"/>
      </w:pPr>
      <w:r>
        <w:tab/>
      </w:r>
      <w:r w:rsidR="001E0BC4">
        <w:tab/>
      </w:r>
      <w:r>
        <w:t>Illegal Drug Use and Alcohol Abuse</w:t>
      </w:r>
      <w:r>
        <w:tab/>
      </w:r>
      <w:r>
        <w:tab/>
      </w:r>
      <w:r>
        <w:tab/>
      </w:r>
      <w:r>
        <w:tab/>
      </w:r>
      <w:r>
        <w:tab/>
      </w:r>
      <w:r>
        <w:tab/>
      </w:r>
      <w:r w:rsidR="001E0BC4">
        <w:t>7</w:t>
      </w:r>
    </w:p>
    <w:p w:rsidR="001E0BC4" w:rsidRDefault="001E0BC4" w:rsidP="00BB3873">
      <w:pPr>
        <w:pStyle w:val="NoSpacing"/>
      </w:pPr>
      <w:r>
        <w:tab/>
      </w:r>
      <w:r>
        <w:tab/>
        <w:t>Abuse and Neglect</w:t>
      </w:r>
      <w:r>
        <w:tab/>
      </w:r>
      <w:r>
        <w:tab/>
      </w:r>
      <w:r>
        <w:tab/>
      </w:r>
      <w:r>
        <w:tab/>
      </w:r>
      <w:r>
        <w:tab/>
      </w:r>
      <w:r>
        <w:tab/>
      </w:r>
      <w:r>
        <w:tab/>
      </w:r>
      <w:r>
        <w:tab/>
        <w:t>7</w:t>
      </w:r>
    </w:p>
    <w:p w:rsidR="001E0BC4" w:rsidRDefault="001E0BC4" w:rsidP="00BB3873">
      <w:pPr>
        <w:pStyle w:val="NoSpacing"/>
      </w:pPr>
    </w:p>
    <w:p w:rsidR="001E0BC4" w:rsidRDefault="001E0BC4" w:rsidP="00BB3873">
      <w:pPr>
        <w:pStyle w:val="NoSpacing"/>
        <w:rPr>
          <w:b/>
        </w:rPr>
      </w:pPr>
      <w:r>
        <w:rPr>
          <w:b/>
        </w:rPr>
        <w:tab/>
        <w:t>Unintended Injury</w:t>
      </w:r>
      <w:r>
        <w:rPr>
          <w:b/>
        </w:rPr>
        <w:tab/>
      </w:r>
      <w:r>
        <w:rPr>
          <w:b/>
        </w:rPr>
        <w:tab/>
      </w:r>
      <w:r>
        <w:rPr>
          <w:b/>
        </w:rPr>
        <w:tab/>
      </w:r>
      <w:r>
        <w:rPr>
          <w:b/>
        </w:rPr>
        <w:tab/>
      </w:r>
      <w:r>
        <w:rPr>
          <w:b/>
        </w:rPr>
        <w:tab/>
      </w:r>
      <w:r>
        <w:rPr>
          <w:b/>
        </w:rPr>
        <w:tab/>
      </w:r>
      <w:r>
        <w:rPr>
          <w:b/>
        </w:rPr>
        <w:tab/>
      </w:r>
      <w:r>
        <w:rPr>
          <w:b/>
        </w:rPr>
        <w:tab/>
      </w:r>
      <w:r>
        <w:rPr>
          <w:b/>
        </w:rPr>
        <w:tab/>
        <w:t>9</w:t>
      </w:r>
    </w:p>
    <w:p w:rsidR="001E0BC4" w:rsidRDefault="001E0BC4" w:rsidP="00BB3873">
      <w:pPr>
        <w:pStyle w:val="NoSpacing"/>
      </w:pPr>
      <w:r>
        <w:rPr>
          <w:b/>
        </w:rPr>
        <w:tab/>
      </w:r>
      <w:r>
        <w:rPr>
          <w:b/>
        </w:rPr>
        <w:tab/>
      </w:r>
      <w:r>
        <w:t>Indicators Related to Injury</w:t>
      </w:r>
      <w:r>
        <w:tab/>
      </w:r>
      <w:r>
        <w:tab/>
      </w:r>
      <w:r>
        <w:tab/>
      </w:r>
      <w:r>
        <w:tab/>
      </w:r>
      <w:r>
        <w:tab/>
      </w:r>
      <w:r>
        <w:tab/>
      </w:r>
      <w:r>
        <w:tab/>
        <w:t>9</w:t>
      </w:r>
    </w:p>
    <w:p w:rsidR="001E0BC4" w:rsidRDefault="001E0BC4" w:rsidP="00BB3873">
      <w:pPr>
        <w:pStyle w:val="NoSpacing"/>
      </w:pPr>
      <w:r>
        <w:tab/>
      </w:r>
      <w:r>
        <w:tab/>
        <w:t>Indicators Related to Traffic Safety</w:t>
      </w:r>
      <w:r>
        <w:tab/>
      </w:r>
      <w:r>
        <w:tab/>
      </w:r>
      <w:r>
        <w:tab/>
      </w:r>
      <w:r>
        <w:tab/>
      </w:r>
      <w:r>
        <w:tab/>
      </w:r>
      <w:r>
        <w:tab/>
        <w:t>9</w:t>
      </w:r>
    </w:p>
    <w:p w:rsidR="001E0BC4" w:rsidRDefault="001E0BC4" w:rsidP="00BB3873">
      <w:pPr>
        <w:pStyle w:val="NoSpacing"/>
      </w:pPr>
    </w:p>
    <w:p w:rsidR="001E0BC4" w:rsidRDefault="001E0BC4" w:rsidP="00BB3873">
      <w:pPr>
        <w:pStyle w:val="NoSpacing"/>
        <w:rPr>
          <w:b/>
        </w:rPr>
      </w:pPr>
      <w:r>
        <w:rPr>
          <w:b/>
        </w:rPr>
        <w:tab/>
        <w:t>Maternal and Child Health</w:t>
      </w:r>
      <w:r>
        <w:rPr>
          <w:b/>
        </w:rPr>
        <w:tab/>
      </w:r>
      <w:r>
        <w:rPr>
          <w:b/>
        </w:rPr>
        <w:tab/>
      </w:r>
      <w:r>
        <w:rPr>
          <w:b/>
        </w:rPr>
        <w:tab/>
      </w:r>
      <w:r>
        <w:rPr>
          <w:b/>
        </w:rPr>
        <w:tab/>
      </w:r>
      <w:r>
        <w:rPr>
          <w:b/>
        </w:rPr>
        <w:tab/>
      </w:r>
      <w:r>
        <w:rPr>
          <w:b/>
        </w:rPr>
        <w:tab/>
      </w:r>
      <w:r>
        <w:rPr>
          <w:b/>
        </w:rPr>
        <w:tab/>
        <w:t xml:space="preserve">            10</w:t>
      </w:r>
    </w:p>
    <w:p w:rsidR="001E0BC4" w:rsidRDefault="001E0BC4" w:rsidP="00BB3873">
      <w:pPr>
        <w:pStyle w:val="NoSpacing"/>
      </w:pPr>
      <w:r>
        <w:tab/>
      </w:r>
      <w:r>
        <w:tab/>
        <w:t>Indicators related to Children’s Health</w:t>
      </w:r>
      <w:r>
        <w:tab/>
      </w:r>
      <w:r>
        <w:tab/>
      </w:r>
      <w:r>
        <w:tab/>
      </w:r>
      <w:r>
        <w:tab/>
      </w:r>
      <w:r>
        <w:tab/>
      </w:r>
      <w:r w:rsidR="00654E65">
        <w:t xml:space="preserve">           </w:t>
      </w:r>
      <w:r>
        <w:t xml:space="preserve"> 10</w:t>
      </w:r>
    </w:p>
    <w:p w:rsidR="001E0BC4" w:rsidRDefault="001E0BC4" w:rsidP="00BB3873">
      <w:pPr>
        <w:pStyle w:val="NoSpacing"/>
      </w:pPr>
      <w:r>
        <w:tab/>
      </w:r>
      <w:r>
        <w:tab/>
        <w:t>Indicators related to Prenatal Risk</w:t>
      </w:r>
      <w:r>
        <w:tab/>
      </w:r>
      <w:r>
        <w:tab/>
      </w:r>
      <w:r>
        <w:tab/>
      </w:r>
      <w:r>
        <w:tab/>
      </w:r>
      <w:r>
        <w:tab/>
      </w:r>
      <w:r w:rsidR="00654E65">
        <w:t xml:space="preserve">           </w:t>
      </w:r>
      <w:r>
        <w:t xml:space="preserve"> 11</w:t>
      </w:r>
    </w:p>
    <w:p w:rsidR="001E0BC4" w:rsidRDefault="001E0BC4" w:rsidP="00BB3873">
      <w:pPr>
        <w:pStyle w:val="NoSpacing"/>
      </w:pPr>
      <w:r>
        <w:tab/>
      </w:r>
      <w:r>
        <w:tab/>
        <w:t>WIC (Women Infants &amp; Children) Program Utilization</w:t>
      </w:r>
      <w:r w:rsidR="00654E65">
        <w:tab/>
      </w:r>
      <w:r w:rsidR="00654E65">
        <w:tab/>
      </w:r>
      <w:r w:rsidR="00654E65">
        <w:tab/>
        <w:t xml:space="preserve">            </w:t>
      </w:r>
      <w:r>
        <w:t>12</w:t>
      </w:r>
    </w:p>
    <w:p w:rsidR="001E0BC4" w:rsidRDefault="001E0BC4" w:rsidP="00BB3873">
      <w:pPr>
        <w:pStyle w:val="NoSpacing"/>
      </w:pPr>
    </w:p>
    <w:p w:rsidR="001E0BC4" w:rsidRDefault="00654E65" w:rsidP="00BB3873">
      <w:pPr>
        <w:pStyle w:val="NoSpacing"/>
        <w:rPr>
          <w:b/>
        </w:rPr>
      </w:pPr>
      <w:r>
        <w:rPr>
          <w:b/>
        </w:rPr>
        <w:tab/>
      </w:r>
      <w:r w:rsidR="001E0BC4">
        <w:rPr>
          <w:b/>
        </w:rPr>
        <w:t>Prevalence of Infectious Disease</w:t>
      </w:r>
      <w:r w:rsidR="001E0BC4">
        <w:rPr>
          <w:b/>
        </w:rPr>
        <w:tab/>
      </w:r>
      <w:r w:rsidR="001E0BC4">
        <w:rPr>
          <w:b/>
        </w:rPr>
        <w:tab/>
      </w:r>
      <w:r w:rsidR="001E0BC4">
        <w:rPr>
          <w:b/>
        </w:rPr>
        <w:tab/>
      </w:r>
      <w:r w:rsidR="001E0BC4">
        <w:rPr>
          <w:b/>
        </w:rPr>
        <w:tab/>
      </w:r>
      <w:r w:rsidR="001E0BC4">
        <w:rPr>
          <w:b/>
        </w:rPr>
        <w:tab/>
      </w:r>
      <w:r w:rsidR="001E0BC4">
        <w:rPr>
          <w:b/>
        </w:rPr>
        <w:tab/>
        <w:t xml:space="preserve">            12</w:t>
      </w:r>
    </w:p>
    <w:p w:rsidR="001E0BC4" w:rsidRDefault="001E0BC4" w:rsidP="00BB3873">
      <w:pPr>
        <w:pStyle w:val="NoSpacing"/>
        <w:rPr>
          <w:b/>
        </w:rPr>
      </w:pPr>
    </w:p>
    <w:p w:rsidR="001E0BC4" w:rsidRDefault="00654E65" w:rsidP="00BB3873">
      <w:pPr>
        <w:pStyle w:val="NoSpacing"/>
        <w:rPr>
          <w:b/>
        </w:rPr>
      </w:pPr>
      <w:r>
        <w:rPr>
          <w:b/>
        </w:rPr>
        <w:tab/>
      </w:r>
      <w:r w:rsidR="001E0BC4">
        <w:rPr>
          <w:b/>
        </w:rPr>
        <w:t>Prevalence of Chronic Risk Factors Leading Causes of Mortality</w:t>
      </w:r>
      <w:r w:rsidR="001E0BC4">
        <w:rPr>
          <w:b/>
        </w:rPr>
        <w:tab/>
      </w:r>
      <w:r w:rsidR="001E0BC4">
        <w:rPr>
          <w:b/>
        </w:rPr>
        <w:tab/>
        <w:t xml:space="preserve">             </w:t>
      </w:r>
      <w:r>
        <w:rPr>
          <w:b/>
        </w:rPr>
        <w:t xml:space="preserve">              </w:t>
      </w:r>
      <w:r w:rsidR="001E0BC4">
        <w:rPr>
          <w:b/>
        </w:rPr>
        <w:t>14</w:t>
      </w:r>
    </w:p>
    <w:p w:rsidR="001E0BC4" w:rsidRDefault="001E0BC4" w:rsidP="00BB3873">
      <w:pPr>
        <w:pStyle w:val="NoSpacing"/>
      </w:pPr>
      <w:r>
        <w:rPr>
          <w:b/>
        </w:rPr>
        <w:tab/>
      </w:r>
      <w:r w:rsidR="00654E65">
        <w:rPr>
          <w:b/>
        </w:rPr>
        <w:tab/>
      </w:r>
      <w:r>
        <w:t>Health Outcomes</w:t>
      </w:r>
      <w:r>
        <w:tab/>
      </w:r>
      <w:r>
        <w:tab/>
      </w:r>
      <w:r>
        <w:tab/>
      </w:r>
      <w:r>
        <w:tab/>
      </w:r>
      <w:r>
        <w:tab/>
      </w:r>
      <w:r>
        <w:tab/>
      </w:r>
      <w:r>
        <w:tab/>
        <w:t xml:space="preserve">             14</w:t>
      </w:r>
    </w:p>
    <w:p w:rsidR="001E0BC4" w:rsidRDefault="001E0BC4" w:rsidP="00BB3873">
      <w:pPr>
        <w:pStyle w:val="NoSpacing"/>
      </w:pPr>
      <w:r>
        <w:tab/>
      </w:r>
      <w:r w:rsidR="00654E65">
        <w:tab/>
      </w:r>
      <w:r>
        <w:t>Health Factors</w:t>
      </w:r>
      <w:r>
        <w:tab/>
      </w:r>
      <w:r>
        <w:tab/>
      </w:r>
      <w:r>
        <w:tab/>
      </w:r>
      <w:r>
        <w:tab/>
      </w:r>
      <w:r>
        <w:tab/>
      </w:r>
      <w:r>
        <w:tab/>
      </w:r>
      <w:r>
        <w:tab/>
      </w:r>
      <w:r>
        <w:tab/>
        <w:t xml:space="preserve">             14</w:t>
      </w:r>
    </w:p>
    <w:p w:rsidR="001E0BC4" w:rsidRDefault="001E0BC4" w:rsidP="00BB3873">
      <w:pPr>
        <w:pStyle w:val="NoSpacing"/>
      </w:pPr>
      <w:r>
        <w:tab/>
      </w:r>
      <w:r w:rsidR="00654E65">
        <w:tab/>
      </w:r>
      <w:r>
        <w:t>Chronic Disease Risk Factors</w:t>
      </w:r>
      <w:r>
        <w:tab/>
      </w:r>
      <w:r>
        <w:tab/>
      </w:r>
      <w:r>
        <w:tab/>
      </w:r>
      <w:r>
        <w:tab/>
      </w:r>
      <w:r w:rsidR="00654E65">
        <w:tab/>
      </w:r>
      <w:r w:rsidR="00654E65">
        <w:tab/>
        <w:t xml:space="preserve">             1</w:t>
      </w:r>
      <w:r>
        <w:t>5</w:t>
      </w:r>
    </w:p>
    <w:p w:rsidR="001E0BC4" w:rsidRDefault="001E0BC4" w:rsidP="00BB3873">
      <w:pPr>
        <w:pStyle w:val="NoSpacing"/>
      </w:pPr>
      <w:r>
        <w:tab/>
      </w:r>
      <w:r w:rsidR="00654E65">
        <w:tab/>
      </w:r>
      <w:r>
        <w:t>Disabilities</w:t>
      </w:r>
      <w:r>
        <w:tab/>
      </w:r>
      <w:r>
        <w:tab/>
      </w:r>
      <w:r>
        <w:tab/>
      </w:r>
      <w:r>
        <w:tab/>
      </w:r>
      <w:r>
        <w:tab/>
      </w:r>
      <w:r>
        <w:tab/>
      </w:r>
      <w:r>
        <w:tab/>
      </w:r>
      <w:r>
        <w:tab/>
        <w:t xml:space="preserve">             16</w:t>
      </w:r>
    </w:p>
    <w:p w:rsidR="001E0BC4" w:rsidRDefault="001E0BC4" w:rsidP="00BB3873">
      <w:pPr>
        <w:pStyle w:val="NoSpacing"/>
      </w:pPr>
    </w:p>
    <w:p w:rsidR="001E0BC4" w:rsidRDefault="00654E65" w:rsidP="00BB3873">
      <w:pPr>
        <w:pStyle w:val="NoSpacing"/>
        <w:rPr>
          <w:b/>
        </w:rPr>
      </w:pPr>
      <w:r>
        <w:rPr>
          <w:b/>
        </w:rPr>
        <w:tab/>
      </w:r>
      <w:r w:rsidR="001E0BC4">
        <w:rPr>
          <w:b/>
        </w:rPr>
        <w:t>Health Care System Indicators</w:t>
      </w:r>
      <w:r w:rsidR="001E0BC4">
        <w:rPr>
          <w:b/>
        </w:rPr>
        <w:tab/>
      </w:r>
      <w:r w:rsidR="001E0BC4">
        <w:rPr>
          <w:b/>
        </w:rPr>
        <w:tab/>
      </w:r>
      <w:r w:rsidR="001E0BC4">
        <w:rPr>
          <w:b/>
        </w:rPr>
        <w:tab/>
      </w:r>
      <w:r w:rsidR="001E0BC4">
        <w:rPr>
          <w:b/>
        </w:rPr>
        <w:tab/>
      </w:r>
      <w:r w:rsidR="001E0BC4">
        <w:rPr>
          <w:b/>
        </w:rPr>
        <w:tab/>
      </w:r>
      <w:r w:rsidR="001E0BC4">
        <w:rPr>
          <w:b/>
        </w:rPr>
        <w:tab/>
      </w:r>
      <w:r w:rsidR="001E0BC4">
        <w:rPr>
          <w:b/>
        </w:rPr>
        <w:tab/>
        <w:t xml:space="preserve">             16</w:t>
      </w:r>
    </w:p>
    <w:p w:rsidR="001E0BC4" w:rsidRDefault="001E0BC4" w:rsidP="00BB3873">
      <w:pPr>
        <w:pStyle w:val="NoSpacing"/>
        <w:rPr>
          <w:b/>
        </w:rPr>
      </w:pPr>
    </w:p>
    <w:p w:rsidR="001E0BC4" w:rsidRDefault="00654E65" w:rsidP="00BB3873">
      <w:pPr>
        <w:pStyle w:val="NoSpacing"/>
        <w:rPr>
          <w:b/>
        </w:rPr>
      </w:pPr>
      <w:r>
        <w:rPr>
          <w:b/>
        </w:rPr>
        <w:tab/>
      </w:r>
      <w:r w:rsidR="001E0BC4">
        <w:rPr>
          <w:b/>
        </w:rPr>
        <w:t>Community Health Assessment Summary of Findings</w:t>
      </w:r>
      <w:r w:rsidR="001E0BC4">
        <w:rPr>
          <w:b/>
        </w:rPr>
        <w:tab/>
      </w:r>
      <w:r w:rsidR="001E0BC4">
        <w:rPr>
          <w:b/>
        </w:rPr>
        <w:tab/>
      </w:r>
      <w:r w:rsidR="001E0BC4">
        <w:rPr>
          <w:b/>
        </w:rPr>
        <w:tab/>
      </w:r>
      <w:r w:rsidR="001E0BC4">
        <w:rPr>
          <w:b/>
        </w:rPr>
        <w:tab/>
        <w:t xml:space="preserve">             17</w:t>
      </w:r>
    </w:p>
    <w:p w:rsidR="00654E65" w:rsidRDefault="00654E65" w:rsidP="00BB3873">
      <w:pPr>
        <w:pStyle w:val="NoSpacing"/>
        <w:rPr>
          <w:b/>
        </w:rPr>
      </w:pPr>
    </w:p>
    <w:p w:rsidR="001E0BC4" w:rsidRDefault="00654E65" w:rsidP="00BB3873">
      <w:pPr>
        <w:pStyle w:val="NoSpacing"/>
        <w:rPr>
          <w:b/>
        </w:rPr>
      </w:pPr>
      <w:r>
        <w:rPr>
          <w:b/>
        </w:rPr>
        <w:tab/>
      </w:r>
      <w:r w:rsidR="001E0BC4">
        <w:rPr>
          <w:b/>
        </w:rPr>
        <w:t>Primary Data Sources</w:t>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r>
      <w:r w:rsidR="001E0BC4">
        <w:rPr>
          <w:b/>
        </w:rPr>
        <w:tab/>
        <w:t xml:space="preserve">            18</w:t>
      </w:r>
    </w:p>
    <w:p w:rsidR="001E0BC4" w:rsidRDefault="001E0BC4" w:rsidP="00BB3873">
      <w:pPr>
        <w:pStyle w:val="NoSpacing"/>
        <w:rPr>
          <w:b/>
        </w:rPr>
      </w:pPr>
    </w:p>
    <w:p w:rsidR="001E0BC4" w:rsidRDefault="00654E65" w:rsidP="00BB3873">
      <w:pPr>
        <w:pStyle w:val="NoSpacing"/>
        <w:rPr>
          <w:b/>
        </w:rPr>
      </w:pPr>
      <w:r>
        <w:rPr>
          <w:b/>
        </w:rPr>
        <w:tab/>
      </w:r>
      <w:r w:rsidR="001E0BC4">
        <w:rPr>
          <w:b/>
        </w:rPr>
        <w:t>Appendix A: Pulaski County Health Department’s 2009 Annual Report</w:t>
      </w:r>
    </w:p>
    <w:p w:rsidR="001E0BC4" w:rsidRDefault="001E0BC4" w:rsidP="00BB3873">
      <w:pPr>
        <w:pStyle w:val="NoSpacing"/>
        <w:rPr>
          <w:b/>
        </w:rPr>
      </w:pPr>
    </w:p>
    <w:p w:rsidR="00102214" w:rsidRDefault="00654E65" w:rsidP="00654E65">
      <w:pPr>
        <w:pStyle w:val="NoSpacing"/>
        <w:rPr>
          <w:b/>
        </w:rPr>
      </w:pPr>
      <w:r>
        <w:rPr>
          <w:b/>
        </w:rPr>
        <w:tab/>
      </w:r>
      <w:r w:rsidR="001E0BC4">
        <w:rPr>
          <w:b/>
        </w:rPr>
        <w:t>Appendix B: 2007 Epidemiologic Profiles of HIV Disease and STDs in Missouri</w:t>
      </w:r>
    </w:p>
    <w:p w:rsidR="00654E65" w:rsidRDefault="00654E65" w:rsidP="00654E65">
      <w:pPr>
        <w:pStyle w:val="NoSpacing"/>
        <w:rPr>
          <w:b/>
        </w:rPr>
      </w:pPr>
    </w:p>
    <w:p w:rsidR="00C432B2" w:rsidRPr="00227E40" w:rsidRDefault="00C432B2" w:rsidP="00227E40">
      <w:pPr>
        <w:pStyle w:val="NoSpacing"/>
        <w:jc w:val="center"/>
        <w:rPr>
          <w:b/>
        </w:rPr>
      </w:pPr>
      <w:r w:rsidRPr="00227E40">
        <w:rPr>
          <w:b/>
        </w:rPr>
        <w:lastRenderedPageBreak/>
        <w:t>Pulaski County Health Department</w:t>
      </w:r>
    </w:p>
    <w:p w:rsidR="00C432B2" w:rsidRDefault="00C432B2" w:rsidP="00227E40">
      <w:pPr>
        <w:pStyle w:val="NoSpacing"/>
        <w:jc w:val="center"/>
        <w:rPr>
          <w:i/>
        </w:rPr>
      </w:pPr>
      <w:r w:rsidRPr="00C432B2">
        <w:rPr>
          <w:i/>
        </w:rPr>
        <w:t>2010 Health Status Report</w:t>
      </w:r>
    </w:p>
    <w:p w:rsidR="00227E40" w:rsidRPr="00C432B2" w:rsidRDefault="00227E40" w:rsidP="00227E40">
      <w:pPr>
        <w:pStyle w:val="NoSpacing"/>
        <w:jc w:val="center"/>
        <w:rPr>
          <w:i/>
        </w:rPr>
      </w:pPr>
    </w:p>
    <w:p w:rsidR="00C432B2" w:rsidRPr="00C432B2" w:rsidRDefault="00C432B2" w:rsidP="00227E40">
      <w:pPr>
        <w:pStyle w:val="NoSpacing"/>
        <w:pBdr>
          <w:top w:val="single" w:sz="4" w:space="1" w:color="auto"/>
          <w:bottom w:val="single" w:sz="4" w:space="1" w:color="auto"/>
        </w:pBdr>
        <w:jc w:val="center"/>
        <w:rPr>
          <w:b/>
        </w:rPr>
      </w:pPr>
      <w:r w:rsidRPr="00A21F86">
        <w:rPr>
          <w:b/>
        </w:rPr>
        <w:t>Demographic/Educational/Socioeconomic Indicators</w:t>
      </w:r>
    </w:p>
    <w:p w:rsidR="00C432B2" w:rsidRDefault="00C432B2" w:rsidP="00227E40">
      <w:pPr>
        <w:pStyle w:val="NoSpacing"/>
      </w:pPr>
    </w:p>
    <w:p w:rsidR="00C432B2" w:rsidRPr="00C432B2" w:rsidRDefault="00C432B2" w:rsidP="00227E40">
      <w:pPr>
        <w:pStyle w:val="NoSpacing"/>
        <w:rPr>
          <w:b/>
        </w:rPr>
      </w:pPr>
      <w:r w:rsidRPr="00C432B2">
        <w:rPr>
          <w:b/>
        </w:rPr>
        <w:t>Population and Change:</w:t>
      </w:r>
    </w:p>
    <w:p w:rsidR="00C432B2" w:rsidRDefault="00CC7587" w:rsidP="00C432B2">
      <w:pPr>
        <w:pStyle w:val="NoSpacing"/>
      </w:pPr>
      <w:r>
        <w:t>Pulaski County is the 12</w:t>
      </w:r>
      <w:r w:rsidRPr="00CC7587">
        <w:rPr>
          <w:vertAlign w:val="superscript"/>
        </w:rPr>
        <w:t>th</w:t>
      </w:r>
      <w:r>
        <w:t xml:space="preserve"> fastest growing county in Missouri with a percentage growth of 12.9 percent. The population has steadily increased each year with the exception of 2006 where we experienced a slight decline.  Between 2000-2009, Pulaski County’s’ </w:t>
      </w:r>
      <w:r w:rsidR="00A21F86">
        <w:t>p</w:t>
      </w:r>
      <w:r>
        <w:t xml:space="preserve">opulation </w:t>
      </w:r>
      <w:r w:rsidR="00A21F86">
        <w:t>increased by 5,292, by going from 41,</w:t>
      </w:r>
      <w:r w:rsidR="00681E51">
        <w:t>165 in 2000 to 46,457 in 2009.  The l</w:t>
      </w:r>
      <w:r w:rsidR="0013374E">
        <w:t>argest</w:t>
      </w:r>
      <w:r w:rsidR="00681E51">
        <w:t xml:space="preserve"> growth incline occurred within the timeframe of 2008 to </w:t>
      </w:r>
      <w:r w:rsidR="0013374E">
        <w:t>2009</w:t>
      </w:r>
      <w:r w:rsidR="00681E51">
        <w:t xml:space="preserve"> with a change of 4</w:t>
      </w:r>
      <w:r w:rsidR="00B8634E">
        <w:t xml:space="preserve"> percent</w:t>
      </w:r>
      <w:r w:rsidR="00681E51">
        <w:t xml:space="preserve"> compared to Missouri change of 1</w:t>
      </w:r>
      <w:r w:rsidR="00B8634E">
        <w:t xml:space="preserve"> percent</w:t>
      </w:r>
      <w:r w:rsidR="00681E51">
        <w:t>.  With this exponential amount of growth strategic planning of funds and programs is vital in preparing for future health care and environmental demands.</w:t>
      </w:r>
      <w:r w:rsidR="00EA481D">
        <w:t xml:space="preserve">  See Table 1.1</w:t>
      </w:r>
    </w:p>
    <w:p w:rsidR="00681E51" w:rsidRDefault="00EA481D" w:rsidP="003A5A5C">
      <w:pPr>
        <w:pStyle w:val="NoSpacing"/>
      </w:pPr>
      <w:r>
        <w:t xml:space="preserve">              </w:t>
      </w:r>
      <w:r w:rsidR="00755D64" w:rsidRPr="00755D64">
        <w:rPr>
          <w:noProof/>
        </w:rPr>
        <w:drawing>
          <wp:inline distT="0" distB="0" distL="0" distR="0">
            <wp:extent cx="5086350" cy="2438400"/>
            <wp:effectExtent l="76200" t="76200" r="95250" b="5715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1E51" w:rsidRPr="00EA481D" w:rsidRDefault="00EA481D" w:rsidP="00EA481D">
      <w:pPr>
        <w:pStyle w:val="NoSpacing"/>
        <w:rPr>
          <w:sz w:val="20"/>
          <w:szCs w:val="20"/>
        </w:rPr>
      </w:pPr>
      <w:r>
        <w:t xml:space="preserve">             </w:t>
      </w:r>
      <w:r w:rsidR="00476EEF">
        <w:t xml:space="preserve">  </w:t>
      </w:r>
      <w:r>
        <w:t xml:space="preserve"> </w:t>
      </w:r>
      <w:r>
        <w:rPr>
          <w:sz w:val="20"/>
          <w:szCs w:val="20"/>
        </w:rPr>
        <w:t>Table 1.1: Source: MODH</w:t>
      </w:r>
      <w:r w:rsidR="00B825FC">
        <w:rPr>
          <w:sz w:val="20"/>
          <w:szCs w:val="20"/>
        </w:rPr>
        <w:t>S</w:t>
      </w:r>
      <w:r>
        <w:rPr>
          <w:sz w:val="20"/>
          <w:szCs w:val="20"/>
        </w:rPr>
        <w:t>S, Population MICA, UM Extension Social and Economic Profile</w:t>
      </w:r>
    </w:p>
    <w:p w:rsidR="00681E51" w:rsidRDefault="00681E51" w:rsidP="00C432B2">
      <w:pPr>
        <w:pStyle w:val="NoSpacing"/>
        <w:jc w:val="center"/>
      </w:pPr>
    </w:p>
    <w:p w:rsidR="00102214" w:rsidRDefault="00B8634E" w:rsidP="00227E40">
      <w:pPr>
        <w:pStyle w:val="NoSpacing"/>
        <w:ind w:right="-90"/>
        <w:rPr>
          <w:noProof/>
        </w:rPr>
      </w:pPr>
      <w:r>
        <w:t>The age breakdown of Pulaski County shows that children under the age of 18 have the largest population rate of 26.3 percent as compared with the State of Missouri’s rate of 24.0 percent.  Our smallest population is the number of residents over the age of 65, at 7.9 percent of population compared to the State rate of 13.7 percent.</w:t>
      </w:r>
      <w:r w:rsidR="00227E40">
        <w:t xml:space="preserve">  Pulaski County’s gender population is broken down as 53 percent male and 47 percent female.</w:t>
      </w:r>
      <w:r w:rsidR="00EA481D">
        <w:t xml:space="preserve">  See Table 1.2.</w:t>
      </w:r>
      <w:r w:rsidR="00102214" w:rsidRPr="00102214">
        <w:rPr>
          <w:noProof/>
        </w:rPr>
        <w:t xml:space="preserve"> </w:t>
      </w:r>
    </w:p>
    <w:p w:rsidR="00755D64" w:rsidRDefault="00102214" w:rsidP="00681E51">
      <w:pPr>
        <w:pStyle w:val="NoSpacing"/>
      </w:pPr>
      <w:r>
        <w:rPr>
          <w:noProof/>
        </w:rPr>
        <w:drawing>
          <wp:anchor distT="0" distB="0" distL="114300" distR="114300" simplePos="0" relativeHeight="251663360" behindDoc="0" locked="0" layoutInCell="1" allowOverlap="1">
            <wp:simplePos x="0" y="0"/>
            <wp:positionH relativeFrom="column">
              <wp:posOffset>66675</wp:posOffset>
            </wp:positionH>
            <wp:positionV relativeFrom="paragraph">
              <wp:posOffset>128905</wp:posOffset>
            </wp:positionV>
            <wp:extent cx="5114925" cy="2428875"/>
            <wp:effectExtent l="76200" t="76200" r="85725" b="47625"/>
            <wp:wrapNone/>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81E51" w:rsidRDefault="00681E51" w:rsidP="00755D64">
      <w:pPr>
        <w:pStyle w:val="NoSpacing"/>
        <w:jc w:val="center"/>
      </w:pPr>
    </w:p>
    <w:p w:rsidR="00102214" w:rsidRDefault="00EA481D" w:rsidP="00EA481D">
      <w:pPr>
        <w:pStyle w:val="NoSpacing"/>
        <w:rPr>
          <w:sz w:val="20"/>
          <w:szCs w:val="20"/>
        </w:rPr>
      </w:pPr>
      <w:r>
        <w:rPr>
          <w:sz w:val="20"/>
          <w:szCs w:val="20"/>
        </w:rPr>
        <w:t xml:space="preserve">       </w:t>
      </w: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102214" w:rsidP="00EA481D">
      <w:pPr>
        <w:pStyle w:val="NoSpacing"/>
        <w:rPr>
          <w:sz w:val="20"/>
          <w:szCs w:val="20"/>
        </w:rPr>
      </w:pPr>
    </w:p>
    <w:p w:rsidR="00102214" w:rsidRDefault="00EA481D" w:rsidP="00EA481D">
      <w:pPr>
        <w:pStyle w:val="NoSpacing"/>
        <w:rPr>
          <w:sz w:val="20"/>
          <w:szCs w:val="20"/>
        </w:rPr>
      </w:pPr>
      <w:r>
        <w:rPr>
          <w:sz w:val="20"/>
          <w:szCs w:val="20"/>
        </w:rPr>
        <w:t xml:space="preserve">  </w:t>
      </w:r>
    </w:p>
    <w:p w:rsidR="00102214" w:rsidRDefault="00102214" w:rsidP="00EA481D">
      <w:pPr>
        <w:pStyle w:val="NoSpacing"/>
        <w:rPr>
          <w:sz w:val="20"/>
          <w:szCs w:val="20"/>
        </w:rPr>
      </w:pPr>
    </w:p>
    <w:p w:rsidR="00102214" w:rsidRDefault="00102214" w:rsidP="00EA481D">
      <w:pPr>
        <w:pStyle w:val="NoSpacing"/>
        <w:rPr>
          <w:sz w:val="20"/>
          <w:szCs w:val="20"/>
        </w:rPr>
      </w:pPr>
    </w:p>
    <w:p w:rsidR="00681E51" w:rsidRPr="00EA481D" w:rsidRDefault="00EA481D" w:rsidP="00EA481D">
      <w:pPr>
        <w:pStyle w:val="NoSpacing"/>
        <w:rPr>
          <w:sz w:val="20"/>
          <w:szCs w:val="20"/>
        </w:rPr>
      </w:pPr>
      <w:r>
        <w:rPr>
          <w:sz w:val="20"/>
          <w:szCs w:val="20"/>
        </w:rPr>
        <w:t xml:space="preserve">     Table 1.2- Source: UM Extension Social and Economic Profile</w:t>
      </w:r>
    </w:p>
    <w:p w:rsidR="00227E40" w:rsidRDefault="00755D64" w:rsidP="00755D64">
      <w:pPr>
        <w:pStyle w:val="NoSpacing"/>
      </w:pPr>
      <w:r>
        <w:lastRenderedPageBreak/>
        <w:t>Natural increase is defined as births minus deaths.  Pulaski County had a natural increase of 3,730 between 2000 and 2009.  Migration is the difference between the number of people who moved into and area and the number of people who moved out.  Between 2000 and 2009</w:t>
      </w:r>
      <w:r w:rsidR="00227E40">
        <w:t xml:space="preserve">, Pulaski County had a net migration (gain) of 1,562.  </w:t>
      </w:r>
      <w:r w:rsidR="0043732C">
        <w:t>Of the total population, 73.6 percent live in unincorporated areas, 17.1 percent live in places of 2,500 or more population and 9.3 percent live in places with fewer than 2500 population.</w:t>
      </w:r>
    </w:p>
    <w:p w:rsidR="0043732C" w:rsidRDefault="0043732C" w:rsidP="00755D64">
      <w:pPr>
        <w:pStyle w:val="NoSpacing"/>
      </w:pPr>
    </w:p>
    <w:p w:rsidR="0043732C" w:rsidRDefault="0043732C" w:rsidP="00755D64">
      <w:pPr>
        <w:pStyle w:val="NoSpacing"/>
        <w:rPr>
          <w:b/>
        </w:rPr>
      </w:pPr>
      <w:r>
        <w:rPr>
          <w:b/>
        </w:rPr>
        <w:t>Racial Diversity:</w:t>
      </w:r>
    </w:p>
    <w:p w:rsidR="00802A07" w:rsidRPr="009E7826" w:rsidRDefault="009E7826" w:rsidP="00755D64">
      <w:pPr>
        <w:pStyle w:val="NoSpacing"/>
      </w:pPr>
      <w:r>
        <w:t>There has not been a significant change i</w:t>
      </w:r>
      <w:r w:rsidR="00332BF1">
        <w:t>n</w:t>
      </w:r>
      <w:r>
        <w:t xml:space="preserve"> the race and ethnicity population from 2006 to 2009.  </w:t>
      </w:r>
      <w:r w:rsidR="00D40942">
        <w:t xml:space="preserve">The whites have continued to be the largest race population in the county at 82.4 percent.  Blacks are the second largest racial population at 10.4 percent, which is a slight decline since 2006.  Although the </w:t>
      </w:r>
      <w:r w:rsidR="00EA481D">
        <w:t>percentages of the other racial and ethnic groups are</w:t>
      </w:r>
      <w:r w:rsidR="00D40942">
        <w:t xml:space="preserve"> relatively small for Pulaski County they are </w:t>
      </w:r>
      <w:r w:rsidR="00EA481D">
        <w:t>approximately twice the statewide rate.  See Table 1.3</w:t>
      </w:r>
    </w:p>
    <w:p w:rsidR="0043732C" w:rsidRDefault="0043732C" w:rsidP="00755D64">
      <w:pPr>
        <w:pStyle w:val="NoSpacing"/>
      </w:pPr>
    </w:p>
    <w:tbl>
      <w:tblPr>
        <w:tblStyle w:val="MediumGrid3-Accent1"/>
        <w:tblW w:w="0" w:type="auto"/>
        <w:jc w:val="center"/>
        <w:tblLook w:val="04A0" w:firstRow="1" w:lastRow="0" w:firstColumn="1" w:lastColumn="0" w:noHBand="0" w:noVBand="1"/>
      </w:tblPr>
      <w:tblGrid>
        <w:gridCol w:w="3416"/>
        <w:gridCol w:w="829"/>
        <w:gridCol w:w="2482"/>
        <w:gridCol w:w="2482"/>
      </w:tblGrid>
      <w:tr w:rsidR="00802A07" w:rsidTr="00B433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rsidR="00802A07" w:rsidRDefault="00802A07" w:rsidP="00802A07">
            <w:pPr>
              <w:pStyle w:val="NoSpacing"/>
            </w:pPr>
            <w:r>
              <w:t>Population by Race and Ethnicity, 2009                              County                                      State</w:t>
            </w:r>
          </w:p>
        </w:tc>
      </w:tr>
      <w:tr w:rsidR="00802A07" w:rsidTr="00B433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02A07" w:rsidRDefault="00802A07" w:rsidP="00755D64">
            <w:pPr>
              <w:pStyle w:val="NoSpacing"/>
            </w:pPr>
          </w:p>
        </w:tc>
        <w:tc>
          <w:tcPr>
            <w:tcW w:w="0" w:type="auto"/>
          </w:tcPr>
          <w:p w:rsidR="00802A07"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Total</w:t>
            </w:r>
          </w:p>
        </w:tc>
        <w:tc>
          <w:tcPr>
            <w:tcW w:w="0" w:type="auto"/>
          </w:tcPr>
          <w:p w:rsidR="00802A07"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Percentage of Population</w:t>
            </w:r>
          </w:p>
        </w:tc>
        <w:tc>
          <w:tcPr>
            <w:tcW w:w="0" w:type="auto"/>
          </w:tcPr>
          <w:p w:rsidR="00802A07"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Percentage of Population</w:t>
            </w:r>
          </w:p>
        </w:tc>
      </w:tr>
      <w:tr w:rsidR="0043732C" w:rsidTr="00B433A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3732C" w:rsidRDefault="00802A07" w:rsidP="00755D64">
            <w:pPr>
              <w:pStyle w:val="NoSpacing"/>
            </w:pPr>
            <w:r>
              <w:t>White Alone</w:t>
            </w:r>
          </w:p>
        </w:tc>
        <w:tc>
          <w:tcPr>
            <w:tcW w:w="0" w:type="auto"/>
          </w:tcPr>
          <w:p w:rsidR="0043732C" w:rsidRDefault="00802A07" w:rsidP="00802A07">
            <w:pPr>
              <w:pStyle w:val="NoSpacing"/>
              <w:jc w:val="center"/>
              <w:cnfStyle w:val="000000000000" w:firstRow="0" w:lastRow="0" w:firstColumn="0" w:lastColumn="0" w:oddVBand="0" w:evenVBand="0" w:oddHBand="0" w:evenHBand="0" w:firstRowFirstColumn="0" w:firstRowLastColumn="0" w:lastRowFirstColumn="0" w:lastRowLastColumn="0"/>
            </w:pPr>
            <w:r>
              <w:t>38,291</w:t>
            </w:r>
          </w:p>
        </w:tc>
        <w:tc>
          <w:tcPr>
            <w:tcW w:w="0" w:type="auto"/>
          </w:tcPr>
          <w:p w:rsidR="0043732C" w:rsidRDefault="00802A07" w:rsidP="00802A07">
            <w:pPr>
              <w:pStyle w:val="NoSpacing"/>
              <w:jc w:val="center"/>
              <w:cnfStyle w:val="000000000000" w:firstRow="0" w:lastRow="0" w:firstColumn="0" w:lastColumn="0" w:oddVBand="0" w:evenVBand="0" w:oddHBand="0" w:evenHBand="0" w:firstRowFirstColumn="0" w:firstRowLastColumn="0" w:lastRowFirstColumn="0" w:lastRowLastColumn="0"/>
            </w:pPr>
            <w:r>
              <w:t>82.4</w:t>
            </w:r>
          </w:p>
        </w:tc>
        <w:tc>
          <w:tcPr>
            <w:tcW w:w="0" w:type="auto"/>
          </w:tcPr>
          <w:p w:rsidR="0043732C" w:rsidRDefault="00802A07" w:rsidP="00802A07">
            <w:pPr>
              <w:pStyle w:val="NoSpacing"/>
              <w:jc w:val="center"/>
              <w:cnfStyle w:val="000000000000" w:firstRow="0" w:lastRow="0" w:firstColumn="0" w:lastColumn="0" w:oddVBand="0" w:evenVBand="0" w:oddHBand="0" w:evenHBand="0" w:firstRowFirstColumn="0" w:firstRowLastColumn="0" w:lastRowFirstColumn="0" w:lastRowLastColumn="0"/>
            </w:pPr>
            <w:r>
              <w:t>84.9</w:t>
            </w:r>
          </w:p>
        </w:tc>
      </w:tr>
      <w:tr w:rsidR="0043732C" w:rsidTr="00B433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02A07" w:rsidRDefault="00802A07" w:rsidP="00755D64">
            <w:pPr>
              <w:pStyle w:val="NoSpacing"/>
            </w:pPr>
            <w:r>
              <w:t>Black Alone</w:t>
            </w:r>
          </w:p>
        </w:tc>
        <w:tc>
          <w:tcPr>
            <w:tcW w:w="0" w:type="auto"/>
          </w:tcPr>
          <w:p w:rsidR="0043732C"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4,850</w:t>
            </w:r>
          </w:p>
        </w:tc>
        <w:tc>
          <w:tcPr>
            <w:tcW w:w="0" w:type="auto"/>
          </w:tcPr>
          <w:p w:rsidR="0043732C"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10.4</w:t>
            </w:r>
          </w:p>
        </w:tc>
        <w:tc>
          <w:tcPr>
            <w:tcW w:w="0" w:type="auto"/>
          </w:tcPr>
          <w:p w:rsidR="0043732C"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11.5</w:t>
            </w:r>
          </w:p>
        </w:tc>
      </w:tr>
      <w:tr w:rsidR="0043732C" w:rsidTr="00B433A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3732C" w:rsidRDefault="00802A07" w:rsidP="00755D64">
            <w:pPr>
              <w:pStyle w:val="NoSpacing"/>
            </w:pPr>
            <w:r>
              <w:t>Am. Indian &amp; Alaskan Native Alone</w:t>
            </w:r>
          </w:p>
        </w:tc>
        <w:tc>
          <w:tcPr>
            <w:tcW w:w="0" w:type="auto"/>
          </w:tcPr>
          <w:p w:rsidR="0043732C" w:rsidRDefault="00802A07" w:rsidP="00802A07">
            <w:pPr>
              <w:pStyle w:val="NoSpacing"/>
              <w:jc w:val="center"/>
              <w:cnfStyle w:val="000000000000" w:firstRow="0" w:lastRow="0" w:firstColumn="0" w:lastColumn="0" w:oddVBand="0" w:evenVBand="0" w:oddHBand="0" w:evenHBand="0" w:firstRowFirstColumn="0" w:firstRowLastColumn="0" w:lastRowFirstColumn="0" w:lastRowLastColumn="0"/>
            </w:pPr>
            <w:r>
              <w:t>495</w:t>
            </w:r>
          </w:p>
        </w:tc>
        <w:tc>
          <w:tcPr>
            <w:tcW w:w="0" w:type="auto"/>
          </w:tcPr>
          <w:p w:rsidR="0043732C" w:rsidRDefault="00802A07" w:rsidP="00802A07">
            <w:pPr>
              <w:pStyle w:val="NoSpacing"/>
              <w:jc w:val="center"/>
              <w:cnfStyle w:val="000000000000" w:firstRow="0" w:lastRow="0" w:firstColumn="0" w:lastColumn="0" w:oddVBand="0" w:evenVBand="0" w:oddHBand="0" w:evenHBand="0" w:firstRowFirstColumn="0" w:firstRowLastColumn="0" w:lastRowFirstColumn="0" w:lastRowLastColumn="0"/>
            </w:pPr>
            <w:r>
              <w:t>1.1</w:t>
            </w:r>
          </w:p>
        </w:tc>
        <w:tc>
          <w:tcPr>
            <w:tcW w:w="0" w:type="auto"/>
          </w:tcPr>
          <w:p w:rsidR="0043732C" w:rsidRDefault="00802A07" w:rsidP="00802A07">
            <w:pPr>
              <w:pStyle w:val="NoSpacing"/>
              <w:jc w:val="center"/>
              <w:cnfStyle w:val="000000000000" w:firstRow="0" w:lastRow="0" w:firstColumn="0" w:lastColumn="0" w:oddVBand="0" w:evenVBand="0" w:oddHBand="0" w:evenHBand="0" w:firstRowFirstColumn="0" w:firstRowLastColumn="0" w:lastRowFirstColumn="0" w:lastRowLastColumn="0"/>
            </w:pPr>
            <w:r>
              <w:t>.5</w:t>
            </w:r>
          </w:p>
        </w:tc>
      </w:tr>
      <w:tr w:rsidR="0043732C" w:rsidTr="00B433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3732C" w:rsidRDefault="00802A07" w:rsidP="00755D64">
            <w:pPr>
              <w:pStyle w:val="NoSpacing"/>
            </w:pPr>
            <w:r>
              <w:t>Asian and Pacific Islander Alone</w:t>
            </w:r>
          </w:p>
        </w:tc>
        <w:tc>
          <w:tcPr>
            <w:tcW w:w="0" w:type="auto"/>
          </w:tcPr>
          <w:p w:rsidR="0043732C"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1,398</w:t>
            </w:r>
          </w:p>
        </w:tc>
        <w:tc>
          <w:tcPr>
            <w:tcW w:w="0" w:type="auto"/>
          </w:tcPr>
          <w:p w:rsidR="0043732C"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3.0</w:t>
            </w:r>
          </w:p>
        </w:tc>
        <w:tc>
          <w:tcPr>
            <w:tcW w:w="0" w:type="auto"/>
          </w:tcPr>
          <w:p w:rsidR="0043732C"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1.6</w:t>
            </w:r>
          </w:p>
        </w:tc>
      </w:tr>
      <w:tr w:rsidR="0043732C" w:rsidTr="00B433A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3732C" w:rsidRDefault="00802A07" w:rsidP="00755D64">
            <w:pPr>
              <w:pStyle w:val="NoSpacing"/>
            </w:pPr>
            <w:r>
              <w:t>Multiracial</w:t>
            </w:r>
          </w:p>
        </w:tc>
        <w:tc>
          <w:tcPr>
            <w:tcW w:w="0" w:type="auto"/>
          </w:tcPr>
          <w:p w:rsidR="0043732C" w:rsidRDefault="00802A07" w:rsidP="00802A07">
            <w:pPr>
              <w:pStyle w:val="NoSpacing"/>
              <w:jc w:val="center"/>
              <w:cnfStyle w:val="000000000000" w:firstRow="0" w:lastRow="0" w:firstColumn="0" w:lastColumn="0" w:oddVBand="0" w:evenVBand="0" w:oddHBand="0" w:evenHBand="0" w:firstRowFirstColumn="0" w:firstRowLastColumn="0" w:lastRowFirstColumn="0" w:lastRowLastColumn="0"/>
            </w:pPr>
            <w:r>
              <w:t>1,423</w:t>
            </w:r>
          </w:p>
        </w:tc>
        <w:tc>
          <w:tcPr>
            <w:tcW w:w="0" w:type="auto"/>
          </w:tcPr>
          <w:p w:rsidR="0043732C" w:rsidRDefault="00802A07" w:rsidP="00802A07">
            <w:pPr>
              <w:pStyle w:val="NoSpacing"/>
              <w:jc w:val="center"/>
              <w:cnfStyle w:val="000000000000" w:firstRow="0" w:lastRow="0" w:firstColumn="0" w:lastColumn="0" w:oddVBand="0" w:evenVBand="0" w:oddHBand="0" w:evenHBand="0" w:firstRowFirstColumn="0" w:firstRowLastColumn="0" w:lastRowFirstColumn="0" w:lastRowLastColumn="0"/>
            </w:pPr>
            <w:r>
              <w:t>3.1</w:t>
            </w:r>
          </w:p>
        </w:tc>
        <w:tc>
          <w:tcPr>
            <w:tcW w:w="0" w:type="auto"/>
          </w:tcPr>
          <w:p w:rsidR="0043732C" w:rsidRDefault="00802A07" w:rsidP="00802A07">
            <w:pPr>
              <w:pStyle w:val="NoSpacing"/>
              <w:jc w:val="center"/>
              <w:cnfStyle w:val="000000000000" w:firstRow="0" w:lastRow="0" w:firstColumn="0" w:lastColumn="0" w:oddVBand="0" w:evenVBand="0" w:oddHBand="0" w:evenHBand="0" w:firstRowFirstColumn="0" w:firstRowLastColumn="0" w:lastRowFirstColumn="0" w:lastRowLastColumn="0"/>
            </w:pPr>
            <w:r>
              <w:t>1.5</w:t>
            </w:r>
          </w:p>
        </w:tc>
      </w:tr>
      <w:tr w:rsidR="0043732C" w:rsidTr="00B433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3732C" w:rsidRDefault="00802A07" w:rsidP="00755D64">
            <w:pPr>
              <w:pStyle w:val="NoSpacing"/>
            </w:pPr>
            <w:r>
              <w:t>Hispanic</w:t>
            </w:r>
          </w:p>
        </w:tc>
        <w:tc>
          <w:tcPr>
            <w:tcW w:w="0" w:type="auto"/>
          </w:tcPr>
          <w:p w:rsidR="0043732C"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3,819</w:t>
            </w:r>
          </w:p>
        </w:tc>
        <w:tc>
          <w:tcPr>
            <w:tcW w:w="0" w:type="auto"/>
          </w:tcPr>
          <w:p w:rsidR="0043732C"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8.2</w:t>
            </w:r>
          </w:p>
        </w:tc>
        <w:tc>
          <w:tcPr>
            <w:tcW w:w="0" w:type="auto"/>
          </w:tcPr>
          <w:p w:rsidR="0043732C" w:rsidRDefault="00802A07" w:rsidP="00802A07">
            <w:pPr>
              <w:pStyle w:val="NoSpacing"/>
              <w:jc w:val="center"/>
              <w:cnfStyle w:val="000000100000" w:firstRow="0" w:lastRow="0" w:firstColumn="0" w:lastColumn="0" w:oddVBand="0" w:evenVBand="0" w:oddHBand="1" w:evenHBand="0" w:firstRowFirstColumn="0" w:firstRowLastColumn="0" w:lastRowFirstColumn="0" w:lastRowLastColumn="0"/>
            </w:pPr>
            <w:r>
              <w:t>3.4</w:t>
            </w:r>
          </w:p>
        </w:tc>
      </w:tr>
    </w:tbl>
    <w:p w:rsidR="0043732C" w:rsidRPr="00EA481D" w:rsidRDefault="003A5A5C" w:rsidP="00755D64">
      <w:pPr>
        <w:pStyle w:val="NoSpacing"/>
        <w:rPr>
          <w:sz w:val="20"/>
          <w:szCs w:val="20"/>
        </w:rPr>
      </w:pPr>
      <w:r>
        <w:rPr>
          <w:sz w:val="20"/>
          <w:szCs w:val="20"/>
        </w:rPr>
        <w:t xml:space="preserve">  </w:t>
      </w:r>
      <w:r w:rsidR="00EA481D" w:rsidRPr="00EA481D">
        <w:rPr>
          <w:sz w:val="20"/>
          <w:szCs w:val="20"/>
        </w:rPr>
        <w:t xml:space="preserve">Table 1.3- </w:t>
      </w:r>
      <w:r w:rsidR="009E7826" w:rsidRPr="00EA481D">
        <w:rPr>
          <w:sz w:val="20"/>
          <w:szCs w:val="20"/>
        </w:rPr>
        <w:t>Source: UM Extension Social and Economic Profile, 2009, Pulaski County, Missouri</w:t>
      </w:r>
    </w:p>
    <w:p w:rsidR="000F4783" w:rsidRDefault="000F4783" w:rsidP="00C432B2">
      <w:pPr>
        <w:pStyle w:val="NoSpacing"/>
        <w:jc w:val="center"/>
      </w:pPr>
    </w:p>
    <w:p w:rsidR="000F4783" w:rsidRDefault="00EA481D" w:rsidP="00EA481D">
      <w:pPr>
        <w:pStyle w:val="NoSpacing"/>
        <w:rPr>
          <w:b/>
        </w:rPr>
      </w:pPr>
      <w:r>
        <w:rPr>
          <w:b/>
        </w:rPr>
        <w:t xml:space="preserve">Educational Attainment: </w:t>
      </w:r>
    </w:p>
    <w:p w:rsidR="001B1B87" w:rsidRDefault="001B1B87" w:rsidP="00EA481D">
      <w:pPr>
        <w:pStyle w:val="NoSpacing"/>
      </w:pPr>
      <w:r>
        <w:t>According to the Bureau of the Census, American Community Survey</w:t>
      </w:r>
      <w:r w:rsidR="00762956">
        <w:t xml:space="preserve"> </w:t>
      </w:r>
      <w:r>
        <w:t xml:space="preserve">(completed 2006-2008), the 2008, graduation rate for Pulaski County was 93.6 percent as compared to the statewide rate of 85.8 percent.  </w:t>
      </w:r>
      <w:r w:rsidR="00762956">
        <w:t>The Survey also showed that 37.7 percent of people 25 years and older have a high school diploma or equivalent, 21.9 percent have some college but no degree, 9.6 percent have attained an associated degree and 15.7 percent have received a Bachelor’s degree or higher.</w:t>
      </w:r>
    </w:p>
    <w:p w:rsidR="001B1B87" w:rsidRDefault="001B1B87" w:rsidP="00EA481D">
      <w:pPr>
        <w:pStyle w:val="NoSpacing"/>
      </w:pPr>
    </w:p>
    <w:p w:rsidR="00FF0F06" w:rsidRDefault="00E20C87" w:rsidP="00EA481D">
      <w:pPr>
        <w:pStyle w:val="NoSpacing"/>
      </w:pPr>
      <w:r>
        <w:t>In 200</w:t>
      </w:r>
      <w:r w:rsidR="001B1B87">
        <w:t>9</w:t>
      </w:r>
      <w:r>
        <w:t>,</w:t>
      </w:r>
      <w:r w:rsidR="002501EC">
        <w:t xml:space="preserve"> the Department of Elementary and Secondary Education </w:t>
      </w:r>
      <w:r w:rsidR="00FC4149">
        <w:t>reported the</w:t>
      </w:r>
      <w:r>
        <w:t xml:space="preserve"> High School</w:t>
      </w:r>
      <w:r w:rsidR="00FF0F06">
        <w:t xml:space="preserve"> graduation rates in Pulaski County remained above the statewide rate of 85.0 percent.  The D</w:t>
      </w:r>
      <w:r w:rsidR="00762956">
        <w:t>ixon School District’s g</w:t>
      </w:r>
      <w:r w:rsidR="0021521F">
        <w:t>raduation rate is 95.3 percent; Crocker School District is 92.5; Waynesville is 91.9; Laquey is 88.0; and Richland is 87.0.  Most schools have continued to increase graduation rates and decrease dropout rates.</w:t>
      </w:r>
    </w:p>
    <w:tbl>
      <w:tblPr>
        <w:tblStyle w:val="MediumGrid3-Accent1"/>
        <w:tblW w:w="0" w:type="auto"/>
        <w:jc w:val="center"/>
        <w:tblLook w:val="04A0" w:firstRow="1" w:lastRow="0" w:firstColumn="1" w:lastColumn="0" w:noHBand="0" w:noVBand="1"/>
      </w:tblPr>
      <w:tblGrid>
        <w:gridCol w:w="4144"/>
        <w:gridCol w:w="829"/>
        <w:gridCol w:w="1226"/>
        <w:gridCol w:w="1107"/>
        <w:gridCol w:w="1226"/>
      </w:tblGrid>
      <w:tr w:rsidR="00386CBE" w:rsidTr="00B433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5"/>
          </w:tcPr>
          <w:p w:rsidR="00386CBE" w:rsidRDefault="005F785E" w:rsidP="00EA481D">
            <w:pPr>
              <w:pStyle w:val="NoSpacing"/>
            </w:pPr>
            <w:r>
              <w:t>Educational Attainment</w:t>
            </w:r>
            <w:r w:rsidR="00102214">
              <w:t xml:space="preserve">                                                Pulaski                               Missouri</w:t>
            </w:r>
          </w:p>
        </w:tc>
      </w:tr>
      <w:tr w:rsidR="003216E3" w:rsidTr="00B433A1">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0" w:type="auto"/>
          </w:tcPr>
          <w:p w:rsidR="00386CBE" w:rsidRDefault="00386CBE" w:rsidP="00EA481D">
            <w:pPr>
              <w:pStyle w:val="NoSpacing"/>
            </w:pPr>
          </w:p>
        </w:tc>
        <w:tc>
          <w:tcPr>
            <w:tcW w:w="0" w:type="auto"/>
          </w:tcPr>
          <w:p w:rsidR="00386CBE" w:rsidRDefault="00386CBE" w:rsidP="005F785E">
            <w:pPr>
              <w:pStyle w:val="NoSpacing"/>
              <w:jc w:val="center"/>
              <w:cnfStyle w:val="000000100000" w:firstRow="0" w:lastRow="0" w:firstColumn="0" w:lastColumn="0" w:oddVBand="0" w:evenVBand="0" w:oddHBand="1" w:evenHBand="0" w:firstRowFirstColumn="0" w:firstRowLastColumn="0" w:lastRowFirstColumn="0" w:lastRowLastColumn="0"/>
            </w:pPr>
            <w:r>
              <w:t>Total</w:t>
            </w:r>
          </w:p>
        </w:tc>
        <w:tc>
          <w:tcPr>
            <w:tcW w:w="0" w:type="auto"/>
          </w:tcPr>
          <w:p w:rsidR="00386CBE" w:rsidRDefault="00386CBE" w:rsidP="005F785E">
            <w:pPr>
              <w:pStyle w:val="NoSpacing"/>
              <w:jc w:val="center"/>
              <w:cnfStyle w:val="000000100000" w:firstRow="0" w:lastRow="0" w:firstColumn="0" w:lastColumn="0" w:oddVBand="0" w:evenVBand="0" w:oddHBand="1" w:evenHBand="0" w:firstRowFirstColumn="0" w:firstRowLastColumn="0" w:lastRowFirstColumn="0" w:lastRowLastColumn="0"/>
            </w:pPr>
            <w:r>
              <w:t>Percentage</w:t>
            </w:r>
          </w:p>
        </w:tc>
        <w:tc>
          <w:tcPr>
            <w:tcW w:w="0" w:type="auto"/>
          </w:tcPr>
          <w:p w:rsidR="00386CBE" w:rsidRDefault="00386CBE" w:rsidP="005F785E">
            <w:pPr>
              <w:pStyle w:val="NoSpacing"/>
              <w:jc w:val="center"/>
              <w:cnfStyle w:val="000000100000" w:firstRow="0" w:lastRow="0" w:firstColumn="0" w:lastColumn="0" w:oddVBand="0" w:evenVBand="0" w:oddHBand="1" w:evenHBand="0" w:firstRowFirstColumn="0" w:firstRowLastColumn="0" w:lastRowFirstColumn="0" w:lastRowLastColumn="0"/>
            </w:pPr>
            <w:r>
              <w:t>Total</w:t>
            </w:r>
          </w:p>
        </w:tc>
        <w:tc>
          <w:tcPr>
            <w:tcW w:w="0" w:type="auto"/>
          </w:tcPr>
          <w:p w:rsidR="00386CBE" w:rsidRDefault="00386CBE" w:rsidP="005F785E">
            <w:pPr>
              <w:pStyle w:val="NoSpacing"/>
              <w:jc w:val="center"/>
              <w:cnfStyle w:val="000000100000" w:firstRow="0" w:lastRow="0" w:firstColumn="0" w:lastColumn="0" w:oddVBand="0" w:evenVBand="0" w:oddHBand="1" w:evenHBand="0" w:firstRowFirstColumn="0" w:firstRowLastColumn="0" w:lastRowFirstColumn="0" w:lastRowLastColumn="0"/>
            </w:pPr>
            <w:r>
              <w:t>Percentage</w:t>
            </w:r>
          </w:p>
        </w:tc>
      </w:tr>
      <w:tr w:rsidR="003216E3" w:rsidTr="00B433A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86CBE" w:rsidRDefault="003216E3" w:rsidP="00EA481D">
            <w:pPr>
              <w:pStyle w:val="NoSpacing"/>
            </w:pPr>
            <w:r>
              <w:t xml:space="preserve">Population </w:t>
            </w:r>
            <w:r w:rsidR="005F785E">
              <w:t xml:space="preserve"> Age 25 or older</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23,558</w:t>
            </w:r>
          </w:p>
        </w:tc>
        <w:tc>
          <w:tcPr>
            <w:tcW w:w="0" w:type="auto"/>
          </w:tcPr>
          <w:p w:rsidR="00386CBE" w:rsidRDefault="00386CBE" w:rsidP="005F785E">
            <w:pPr>
              <w:pStyle w:val="NoSpacing"/>
              <w:jc w:val="center"/>
              <w:cnfStyle w:val="000000000000" w:firstRow="0" w:lastRow="0" w:firstColumn="0" w:lastColumn="0" w:oddVBand="0" w:evenVBand="0" w:oddHBand="0" w:evenHBand="0" w:firstRowFirstColumn="0" w:firstRowLastColumn="0" w:lastRowFirstColumn="0" w:lastRowLastColumn="0"/>
            </w:pP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3,886,568</w:t>
            </w:r>
          </w:p>
        </w:tc>
        <w:tc>
          <w:tcPr>
            <w:tcW w:w="0" w:type="auto"/>
          </w:tcPr>
          <w:p w:rsidR="00386CBE" w:rsidRDefault="00386CBE" w:rsidP="005F785E">
            <w:pPr>
              <w:pStyle w:val="NoSpacing"/>
              <w:jc w:val="center"/>
              <w:cnfStyle w:val="000000000000" w:firstRow="0" w:lastRow="0" w:firstColumn="0" w:lastColumn="0" w:oddVBand="0" w:evenVBand="0" w:oddHBand="0" w:evenHBand="0" w:firstRowFirstColumn="0" w:firstRowLastColumn="0" w:lastRowFirstColumn="0" w:lastRowLastColumn="0"/>
            </w:pPr>
          </w:p>
        </w:tc>
      </w:tr>
      <w:tr w:rsidR="003216E3" w:rsidTr="00B433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86CBE" w:rsidRDefault="00386CBE" w:rsidP="00EA481D">
            <w:pPr>
              <w:pStyle w:val="NoSpacing"/>
            </w:pPr>
            <w:r>
              <w:t>Less than 9</w:t>
            </w:r>
            <w:r w:rsidRPr="00386CBE">
              <w:rPr>
                <w:vertAlign w:val="superscript"/>
              </w:rPr>
              <w:t>th</w:t>
            </w:r>
            <w:r>
              <w:t xml:space="preserve"> Grade</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1,214</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5.2</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188,390</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4.8</w:t>
            </w:r>
          </w:p>
        </w:tc>
      </w:tr>
      <w:tr w:rsidR="003216E3" w:rsidTr="00B433A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86CBE" w:rsidRDefault="003216E3" w:rsidP="00EA481D">
            <w:pPr>
              <w:pStyle w:val="NoSpacing"/>
            </w:pPr>
            <w:r>
              <w:t>9</w:t>
            </w:r>
            <w:r w:rsidRPr="003216E3">
              <w:rPr>
                <w:vertAlign w:val="superscript"/>
              </w:rPr>
              <w:t>th</w:t>
            </w:r>
            <w:r>
              <w:t>-12</w:t>
            </w:r>
            <w:r w:rsidRPr="003216E3">
              <w:rPr>
                <w:vertAlign w:val="superscript"/>
              </w:rPr>
              <w:t>th</w:t>
            </w:r>
            <w:r>
              <w:t xml:space="preserve"> grade, no diploma</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2,314</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9.8</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370,578</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9.5</w:t>
            </w:r>
          </w:p>
        </w:tc>
      </w:tr>
      <w:tr w:rsidR="003216E3" w:rsidTr="00B433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86CBE" w:rsidRDefault="003216E3" w:rsidP="00EA481D">
            <w:pPr>
              <w:pStyle w:val="NoSpacing"/>
            </w:pPr>
            <w:r>
              <w:t>High school graduate, includes equivalency</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8,893</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37.7</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1,287,126</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33.1</w:t>
            </w:r>
          </w:p>
        </w:tc>
      </w:tr>
      <w:tr w:rsidR="003216E3" w:rsidTr="00B433A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86CBE" w:rsidRDefault="003216E3" w:rsidP="00EA481D">
            <w:pPr>
              <w:pStyle w:val="NoSpacing"/>
            </w:pPr>
            <w:r>
              <w:t>Some college, no degree</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5,162</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21.9</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836,080</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21.5</w:t>
            </w:r>
          </w:p>
        </w:tc>
      </w:tr>
      <w:tr w:rsidR="003216E3" w:rsidTr="00B433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86CBE" w:rsidRDefault="003216E3" w:rsidP="00EA481D">
            <w:pPr>
              <w:pStyle w:val="NoSpacing"/>
            </w:pPr>
            <w:r>
              <w:t>Associates degree</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2,267</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9.6</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251,433</w:t>
            </w:r>
          </w:p>
        </w:tc>
        <w:tc>
          <w:tcPr>
            <w:tcW w:w="0" w:type="auto"/>
          </w:tcPr>
          <w:p w:rsidR="00386CBE"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6.5</w:t>
            </w:r>
          </w:p>
        </w:tc>
      </w:tr>
      <w:tr w:rsidR="003216E3" w:rsidTr="00B433A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86CBE" w:rsidRDefault="003216E3" w:rsidP="00EA481D">
            <w:pPr>
              <w:pStyle w:val="NoSpacing"/>
            </w:pPr>
            <w:r>
              <w:t>Bachelors degree</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2,403</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10.2</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608,777</w:t>
            </w:r>
          </w:p>
        </w:tc>
        <w:tc>
          <w:tcPr>
            <w:tcW w:w="0" w:type="auto"/>
          </w:tcPr>
          <w:p w:rsidR="00386CBE" w:rsidRDefault="003216E3" w:rsidP="005F785E">
            <w:pPr>
              <w:pStyle w:val="NoSpacing"/>
              <w:jc w:val="center"/>
              <w:cnfStyle w:val="000000000000" w:firstRow="0" w:lastRow="0" w:firstColumn="0" w:lastColumn="0" w:oddVBand="0" w:evenVBand="0" w:oddHBand="0" w:evenHBand="0" w:firstRowFirstColumn="0" w:firstRowLastColumn="0" w:lastRowFirstColumn="0" w:lastRowLastColumn="0"/>
            </w:pPr>
            <w:r>
              <w:t>15.7</w:t>
            </w:r>
          </w:p>
        </w:tc>
      </w:tr>
      <w:tr w:rsidR="003216E3" w:rsidTr="00B433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216E3" w:rsidRDefault="003216E3" w:rsidP="00EA481D">
            <w:pPr>
              <w:pStyle w:val="NoSpacing"/>
            </w:pPr>
            <w:r>
              <w:t>Graduate or professional degree</w:t>
            </w:r>
          </w:p>
        </w:tc>
        <w:tc>
          <w:tcPr>
            <w:tcW w:w="0" w:type="auto"/>
          </w:tcPr>
          <w:p w:rsidR="003216E3"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1,305</w:t>
            </w:r>
          </w:p>
        </w:tc>
        <w:tc>
          <w:tcPr>
            <w:tcW w:w="0" w:type="auto"/>
          </w:tcPr>
          <w:p w:rsidR="003216E3"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5.5</w:t>
            </w:r>
          </w:p>
        </w:tc>
        <w:tc>
          <w:tcPr>
            <w:tcW w:w="0" w:type="auto"/>
          </w:tcPr>
          <w:p w:rsidR="003216E3"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344,184</w:t>
            </w:r>
          </w:p>
        </w:tc>
        <w:tc>
          <w:tcPr>
            <w:tcW w:w="0" w:type="auto"/>
          </w:tcPr>
          <w:p w:rsidR="003216E3" w:rsidRDefault="003216E3" w:rsidP="005F785E">
            <w:pPr>
              <w:pStyle w:val="NoSpacing"/>
              <w:jc w:val="center"/>
              <w:cnfStyle w:val="000000100000" w:firstRow="0" w:lastRow="0" w:firstColumn="0" w:lastColumn="0" w:oddVBand="0" w:evenVBand="0" w:oddHBand="1" w:evenHBand="0" w:firstRowFirstColumn="0" w:firstRowLastColumn="0" w:lastRowFirstColumn="0" w:lastRowLastColumn="0"/>
            </w:pPr>
            <w:r>
              <w:t>8.9</w:t>
            </w:r>
          </w:p>
        </w:tc>
      </w:tr>
      <w:tr w:rsidR="00251476" w:rsidTr="00B433A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251476" w:rsidRDefault="00251476" w:rsidP="00EA481D">
            <w:pPr>
              <w:pStyle w:val="NoSpacing"/>
            </w:pPr>
            <w:r>
              <w:t>High School Graduate or higher</w:t>
            </w:r>
          </w:p>
        </w:tc>
        <w:tc>
          <w:tcPr>
            <w:tcW w:w="0" w:type="auto"/>
          </w:tcPr>
          <w:p w:rsidR="00251476" w:rsidRDefault="00251476" w:rsidP="005F785E">
            <w:pPr>
              <w:pStyle w:val="NoSpacing"/>
              <w:jc w:val="center"/>
              <w:cnfStyle w:val="000000000000" w:firstRow="0" w:lastRow="0" w:firstColumn="0" w:lastColumn="0" w:oddVBand="0" w:evenVBand="0" w:oddHBand="0" w:evenHBand="0" w:firstRowFirstColumn="0" w:firstRowLastColumn="0" w:lastRowFirstColumn="0" w:lastRowLastColumn="0"/>
            </w:pPr>
            <w:r>
              <w:t>20,030</w:t>
            </w:r>
          </w:p>
        </w:tc>
        <w:tc>
          <w:tcPr>
            <w:tcW w:w="0" w:type="auto"/>
          </w:tcPr>
          <w:p w:rsidR="00251476" w:rsidRDefault="00251476" w:rsidP="005F785E">
            <w:pPr>
              <w:pStyle w:val="NoSpacing"/>
              <w:jc w:val="center"/>
              <w:cnfStyle w:val="000000000000" w:firstRow="0" w:lastRow="0" w:firstColumn="0" w:lastColumn="0" w:oddVBand="0" w:evenVBand="0" w:oddHBand="0" w:evenHBand="0" w:firstRowFirstColumn="0" w:firstRowLastColumn="0" w:lastRowFirstColumn="0" w:lastRowLastColumn="0"/>
            </w:pPr>
            <w:r>
              <w:t>85.0</w:t>
            </w:r>
          </w:p>
        </w:tc>
        <w:tc>
          <w:tcPr>
            <w:tcW w:w="0" w:type="auto"/>
          </w:tcPr>
          <w:p w:rsidR="00251476" w:rsidRDefault="00251476" w:rsidP="005F785E">
            <w:pPr>
              <w:pStyle w:val="NoSpacing"/>
              <w:jc w:val="center"/>
              <w:cnfStyle w:val="000000000000" w:firstRow="0" w:lastRow="0" w:firstColumn="0" w:lastColumn="0" w:oddVBand="0" w:evenVBand="0" w:oddHBand="0" w:evenHBand="0" w:firstRowFirstColumn="0" w:firstRowLastColumn="0" w:lastRowFirstColumn="0" w:lastRowLastColumn="0"/>
            </w:pPr>
            <w:r>
              <w:t>3,327,600</w:t>
            </w:r>
          </w:p>
        </w:tc>
        <w:tc>
          <w:tcPr>
            <w:tcW w:w="0" w:type="auto"/>
          </w:tcPr>
          <w:p w:rsidR="00251476" w:rsidRDefault="00251476" w:rsidP="005F785E">
            <w:pPr>
              <w:pStyle w:val="NoSpacing"/>
              <w:jc w:val="center"/>
              <w:cnfStyle w:val="000000000000" w:firstRow="0" w:lastRow="0" w:firstColumn="0" w:lastColumn="0" w:oddVBand="0" w:evenVBand="0" w:oddHBand="0" w:evenHBand="0" w:firstRowFirstColumn="0" w:firstRowLastColumn="0" w:lastRowFirstColumn="0" w:lastRowLastColumn="0"/>
            </w:pPr>
            <w:r>
              <w:t>85.6</w:t>
            </w:r>
          </w:p>
        </w:tc>
      </w:tr>
      <w:tr w:rsidR="00251476" w:rsidTr="00B433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51476" w:rsidRDefault="00251476" w:rsidP="00EA481D">
            <w:pPr>
              <w:pStyle w:val="NoSpacing"/>
            </w:pPr>
            <w:r>
              <w:t>Bachelor degree or higher</w:t>
            </w:r>
          </w:p>
        </w:tc>
        <w:tc>
          <w:tcPr>
            <w:tcW w:w="0" w:type="auto"/>
          </w:tcPr>
          <w:p w:rsidR="00251476" w:rsidRDefault="00251476" w:rsidP="005F785E">
            <w:pPr>
              <w:pStyle w:val="NoSpacing"/>
              <w:jc w:val="center"/>
              <w:cnfStyle w:val="000000100000" w:firstRow="0" w:lastRow="0" w:firstColumn="0" w:lastColumn="0" w:oddVBand="0" w:evenVBand="0" w:oddHBand="1" w:evenHBand="0" w:firstRowFirstColumn="0" w:firstRowLastColumn="0" w:lastRowFirstColumn="0" w:lastRowLastColumn="0"/>
            </w:pPr>
            <w:r>
              <w:t>3,708</w:t>
            </w:r>
          </w:p>
        </w:tc>
        <w:tc>
          <w:tcPr>
            <w:tcW w:w="0" w:type="auto"/>
          </w:tcPr>
          <w:p w:rsidR="00251476" w:rsidRDefault="00251476" w:rsidP="005F785E">
            <w:pPr>
              <w:pStyle w:val="NoSpacing"/>
              <w:jc w:val="center"/>
              <w:cnfStyle w:val="000000100000" w:firstRow="0" w:lastRow="0" w:firstColumn="0" w:lastColumn="0" w:oddVBand="0" w:evenVBand="0" w:oddHBand="1" w:evenHBand="0" w:firstRowFirstColumn="0" w:firstRowLastColumn="0" w:lastRowFirstColumn="0" w:lastRowLastColumn="0"/>
            </w:pPr>
            <w:r>
              <w:t>15.7</w:t>
            </w:r>
          </w:p>
        </w:tc>
        <w:tc>
          <w:tcPr>
            <w:tcW w:w="0" w:type="auto"/>
          </w:tcPr>
          <w:p w:rsidR="00251476" w:rsidRDefault="00251476" w:rsidP="005F785E">
            <w:pPr>
              <w:pStyle w:val="NoSpacing"/>
              <w:jc w:val="center"/>
              <w:cnfStyle w:val="000000100000" w:firstRow="0" w:lastRow="0" w:firstColumn="0" w:lastColumn="0" w:oddVBand="0" w:evenVBand="0" w:oddHBand="1" w:evenHBand="0" w:firstRowFirstColumn="0" w:firstRowLastColumn="0" w:lastRowFirstColumn="0" w:lastRowLastColumn="0"/>
            </w:pPr>
            <w:r>
              <w:t>952,961</w:t>
            </w:r>
          </w:p>
        </w:tc>
        <w:tc>
          <w:tcPr>
            <w:tcW w:w="0" w:type="auto"/>
          </w:tcPr>
          <w:p w:rsidR="00251476" w:rsidRDefault="00251476" w:rsidP="005F785E">
            <w:pPr>
              <w:pStyle w:val="NoSpacing"/>
              <w:jc w:val="center"/>
              <w:cnfStyle w:val="000000100000" w:firstRow="0" w:lastRow="0" w:firstColumn="0" w:lastColumn="0" w:oddVBand="0" w:evenVBand="0" w:oddHBand="1" w:evenHBand="0" w:firstRowFirstColumn="0" w:firstRowLastColumn="0" w:lastRowFirstColumn="0" w:lastRowLastColumn="0"/>
            </w:pPr>
            <w:r>
              <w:t>24.5</w:t>
            </w:r>
          </w:p>
        </w:tc>
      </w:tr>
      <w:tr w:rsidR="001B1B87" w:rsidTr="00B433A1">
        <w:trPr>
          <w:jc w:val="center"/>
        </w:trPr>
        <w:tc>
          <w:tcPr>
            <w:cnfStyle w:val="001000000000" w:firstRow="0" w:lastRow="0" w:firstColumn="1" w:lastColumn="0" w:oddVBand="0" w:evenVBand="0" w:oddHBand="0" w:evenHBand="0" w:firstRowFirstColumn="0" w:firstRowLastColumn="0" w:lastRowFirstColumn="0" w:lastRowLastColumn="0"/>
            <w:tcW w:w="0" w:type="auto"/>
          </w:tcPr>
          <w:p w:rsidR="001B1B87" w:rsidRDefault="001B1B87" w:rsidP="00EA481D">
            <w:pPr>
              <w:pStyle w:val="NoSpacing"/>
            </w:pPr>
            <w:r>
              <w:t>High School Graduation Rate, 2008</w:t>
            </w:r>
          </w:p>
        </w:tc>
        <w:tc>
          <w:tcPr>
            <w:tcW w:w="0" w:type="auto"/>
          </w:tcPr>
          <w:p w:rsidR="001B1B87" w:rsidRDefault="001B1B87" w:rsidP="005F785E">
            <w:pPr>
              <w:pStyle w:val="NoSpacing"/>
              <w:jc w:val="center"/>
              <w:cnfStyle w:val="000000000000" w:firstRow="0" w:lastRow="0" w:firstColumn="0" w:lastColumn="0" w:oddVBand="0" w:evenVBand="0" w:oddHBand="0" w:evenHBand="0" w:firstRowFirstColumn="0" w:firstRowLastColumn="0" w:lastRowFirstColumn="0" w:lastRowLastColumn="0"/>
            </w:pPr>
          </w:p>
        </w:tc>
        <w:tc>
          <w:tcPr>
            <w:tcW w:w="0" w:type="auto"/>
          </w:tcPr>
          <w:p w:rsidR="001B1B87" w:rsidRDefault="001B1B87" w:rsidP="005F785E">
            <w:pPr>
              <w:pStyle w:val="NoSpacing"/>
              <w:jc w:val="center"/>
              <w:cnfStyle w:val="000000000000" w:firstRow="0" w:lastRow="0" w:firstColumn="0" w:lastColumn="0" w:oddVBand="0" w:evenVBand="0" w:oddHBand="0" w:evenHBand="0" w:firstRowFirstColumn="0" w:firstRowLastColumn="0" w:lastRowFirstColumn="0" w:lastRowLastColumn="0"/>
            </w:pPr>
            <w:r>
              <w:t>93.6</w:t>
            </w:r>
          </w:p>
        </w:tc>
        <w:tc>
          <w:tcPr>
            <w:tcW w:w="0" w:type="auto"/>
          </w:tcPr>
          <w:p w:rsidR="001B1B87" w:rsidRDefault="001B1B87" w:rsidP="005F785E">
            <w:pPr>
              <w:pStyle w:val="NoSpacing"/>
              <w:jc w:val="center"/>
              <w:cnfStyle w:val="000000000000" w:firstRow="0" w:lastRow="0" w:firstColumn="0" w:lastColumn="0" w:oddVBand="0" w:evenVBand="0" w:oddHBand="0" w:evenHBand="0" w:firstRowFirstColumn="0" w:firstRowLastColumn="0" w:lastRowFirstColumn="0" w:lastRowLastColumn="0"/>
            </w:pPr>
          </w:p>
        </w:tc>
        <w:tc>
          <w:tcPr>
            <w:tcW w:w="0" w:type="auto"/>
          </w:tcPr>
          <w:p w:rsidR="001B1B87" w:rsidRDefault="001B1B87" w:rsidP="005F785E">
            <w:pPr>
              <w:pStyle w:val="NoSpacing"/>
              <w:jc w:val="center"/>
              <w:cnfStyle w:val="000000000000" w:firstRow="0" w:lastRow="0" w:firstColumn="0" w:lastColumn="0" w:oddVBand="0" w:evenVBand="0" w:oddHBand="0" w:evenHBand="0" w:firstRowFirstColumn="0" w:firstRowLastColumn="0" w:lastRowFirstColumn="0" w:lastRowLastColumn="0"/>
            </w:pPr>
            <w:r>
              <w:t>85.8</w:t>
            </w:r>
          </w:p>
        </w:tc>
      </w:tr>
    </w:tbl>
    <w:p w:rsidR="001B1B87" w:rsidRPr="00FF0F06" w:rsidRDefault="003A5A5C" w:rsidP="001B1B87">
      <w:pPr>
        <w:rPr>
          <w:rFonts w:ascii="Times New Roman" w:eastAsia="Times New Roman" w:hAnsi="Times New Roman" w:cs="Times New Roman"/>
          <w:sz w:val="20"/>
          <w:szCs w:val="20"/>
        </w:rPr>
      </w:pPr>
      <w:r>
        <w:rPr>
          <w:sz w:val="20"/>
          <w:szCs w:val="20"/>
        </w:rPr>
        <w:t xml:space="preserve">         </w:t>
      </w:r>
      <w:r w:rsidR="00E20C87">
        <w:rPr>
          <w:sz w:val="20"/>
          <w:szCs w:val="20"/>
        </w:rPr>
        <w:t xml:space="preserve">Table 1.4- </w:t>
      </w:r>
      <w:r w:rsidR="00386CBE" w:rsidRPr="005F785E">
        <w:rPr>
          <w:sz w:val="20"/>
          <w:szCs w:val="20"/>
        </w:rPr>
        <w:t>Source: Bureau of the Census, American Community Survey, detailed tables for 2006-2008</w:t>
      </w:r>
      <w:r w:rsidR="001B1B87" w:rsidRPr="00FF0F06">
        <w:rPr>
          <w:rFonts w:ascii="Times New Roman" w:eastAsia="Times New Roman" w:hAnsi="Times New Roman" w:cs="Times New Roman"/>
          <w:sz w:val="20"/>
          <w:szCs w:val="20"/>
        </w:rPr>
        <w:t xml:space="preserve"> </w:t>
      </w:r>
    </w:p>
    <w:p w:rsidR="00E20C87" w:rsidRPr="00E20C87" w:rsidRDefault="00E20C87" w:rsidP="00EA481D">
      <w:pPr>
        <w:pStyle w:val="NoSpacing"/>
        <w:rPr>
          <w:b/>
        </w:rPr>
      </w:pPr>
      <w:r>
        <w:rPr>
          <w:b/>
        </w:rPr>
        <w:lastRenderedPageBreak/>
        <w:t>Housing, Household and Families</w:t>
      </w:r>
    </w:p>
    <w:p w:rsidR="00386CBE" w:rsidRDefault="00E65005" w:rsidP="0064765F">
      <w:pPr>
        <w:pStyle w:val="NoSpacing"/>
      </w:pPr>
      <w:r w:rsidRPr="0064765F">
        <w:t xml:space="preserve">According to the US Census Bureau’s estimates, there were 16,408 housing units in Pulaski County in 2008.  </w:t>
      </w:r>
      <w:r w:rsidR="0064765F" w:rsidRPr="0064765F">
        <w:t>Of the total units 86.4 percent are</w:t>
      </w:r>
      <w:r w:rsidRPr="0064765F">
        <w:t xml:space="preserve"> occupied of which </w:t>
      </w:r>
      <w:r w:rsidR="0064765F" w:rsidRPr="0064765F">
        <w:t>58.7 percent are owner occupied</w:t>
      </w:r>
      <w:r w:rsidR="0064765F">
        <w:t xml:space="preserve"> </w:t>
      </w:r>
      <w:r w:rsidRPr="0064765F">
        <w:t xml:space="preserve">and </w:t>
      </w:r>
      <w:r w:rsidR="0064765F" w:rsidRPr="0064765F">
        <w:t>41.3 percent</w:t>
      </w:r>
      <w:r w:rsidRPr="0064765F">
        <w:t xml:space="preserve"> are renter occupied, leaving </w:t>
      </w:r>
      <w:r w:rsidR="0064765F">
        <w:t xml:space="preserve">13.6 percent </w:t>
      </w:r>
      <w:r w:rsidRPr="0064765F">
        <w:t>units vacant.</w:t>
      </w:r>
      <w:r w:rsidR="00F80A91">
        <w:t xml:space="preserve">  The median value of </w:t>
      </w:r>
      <w:r w:rsidR="005922B3">
        <w:t xml:space="preserve">an </w:t>
      </w:r>
      <w:r w:rsidR="00F80A91">
        <w:t xml:space="preserve">owner occupied housing unit in 2009 </w:t>
      </w:r>
      <w:r w:rsidR="005922B3">
        <w:t>was $119,200 as compared to the 2000 value of $78,300 and 2009 statewide value of $137,100.</w:t>
      </w:r>
    </w:p>
    <w:p w:rsidR="005922B3" w:rsidRDefault="005922B3" w:rsidP="0064765F">
      <w:pPr>
        <w:pStyle w:val="NoSpacing"/>
      </w:pPr>
    </w:p>
    <w:p w:rsidR="005922B3" w:rsidRDefault="005922B3" w:rsidP="0064765F">
      <w:pPr>
        <w:pStyle w:val="NoSpacing"/>
      </w:pPr>
      <w:r>
        <w:t xml:space="preserve">In 2008, there were </w:t>
      </w:r>
      <w:r w:rsidR="00AC2025">
        <w:t xml:space="preserve">14,184 households in the county.  Family households make up 67.6 percent (9,594) of the households.  About 28.2 percent of households are married couples with children under 18 which </w:t>
      </w:r>
      <w:r w:rsidR="00933C3E">
        <w:t>are</w:t>
      </w:r>
      <w:r w:rsidR="00AC2025">
        <w:t xml:space="preserve"> higher than </w:t>
      </w:r>
      <w:r w:rsidR="00933C3E">
        <w:t>the state at 20.6 percent.  Pulaski County’s single parent households (9.1%) are slightly lower than the state as a whole (9.5%).  Grandparents responsible for their grandchildren is now at 46.7 percent statewide (local rates are not available).</w:t>
      </w:r>
    </w:p>
    <w:p w:rsidR="00933C3E" w:rsidRDefault="00933C3E" w:rsidP="0064765F">
      <w:pPr>
        <w:pStyle w:val="NoSpacing"/>
      </w:pPr>
    </w:p>
    <w:p w:rsidR="00EE4DB4" w:rsidRDefault="00933C3E" w:rsidP="0064765F">
      <w:pPr>
        <w:pStyle w:val="NoSpacing"/>
      </w:pPr>
      <w:r>
        <w:t xml:space="preserve">As of </w:t>
      </w:r>
      <w:r w:rsidR="00A8171B">
        <w:t>July</w:t>
      </w:r>
      <w:r>
        <w:t xml:space="preserve"> 2010, the unemployment rates for Pulaski County were at </w:t>
      </w:r>
      <w:r w:rsidR="00A8171B">
        <w:t>8</w:t>
      </w:r>
      <w:r>
        <w:t xml:space="preserve"> percent which is lower than the state rate of </w:t>
      </w:r>
      <w:r w:rsidR="00A8171B">
        <w:t>9.4</w:t>
      </w:r>
      <w:r>
        <w:t xml:space="preserve"> percent.  </w:t>
      </w:r>
      <w:r w:rsidR="00EE4DB4">
        <w:t>There were 30,300 jobs in Pulaski County in 2008 of which 42.7 percent are military.  Federal civilian jobs made up 12.5 percent followed by accommodations and food service at 7.4 percent.  See Table 1.5 for all categories.</w:t>
      </w:r>
    </w:p>
    <w:p w:rsidR="00EE4DB4" w:rsidRDefault="00EE4DB4" w:rsidP="0064765F">
      <w:pPr>
        <w:pStyle w:val="NoSpacing"/>
      </w:pPr>
    </w:p>
    <w:p w:rsidR="00EE4DB4" w:rsidRDefault="00EA2D16" w:rsidP="00EA2D16">
      <w:pPr>
        <w:pStyle w:val="NoSpacing"/>
        <w:jc w:val="center"/>
      </w:pPr>
      <w:r w:rsidRPr="00EA2D16">
        <w:rPr>
          <w:noProof/>
        </w:rPr>
        <w:drawing>
          <wp:inline distT="0" distB="0" distL="0" distR="0">
            <wp:extent cx="5562600" cy="2781300"/>
            <wp:effectExtent l="76200" t="76200" r="95250" b="5715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0A91" w:rsidRDefault="00A8171B" w:rsidP="0064765F">
      <w:pPr>
        <w:pStyle w:val="NoSpacing"/>
        <w:rPr>
          <w:sz w:val="20"/>
          <w:szCs w:val="20"/>
        </w:rPr>
      </w:pPr>
      <w:r>
        <w:t xml:space="preserve">     </w:t>
      </w:r>
      <w:r>
        <w:rPr>
          <w:sz w:val="20"/>
          <w:szCs w:val="20"/>
        </w:rPr>
        <w:t>Table 1.5-Source UM Extension Social and Economic Profile, Pulaski County</w:t>
      </w:r>
    </w:p>
    <w:p w:rsidR="00A8171B" w:rsidRPr="00A8171B" w:rsidRDefault="00A8171B" w:rsidP="0064765F">
      <w:pPr>
        <w:pStyle w:val="NoSpacing"/>
        <w:rPr>
          <w:sz w:val="20"/>
          <w:szCs w:val="20"/>
        </w:rPr>
      </w:pPr>
    </w:p>
    <w:p w:rsidR="00F80A91" w:rsidRDefault="00BC4C6D" w:rsidP="0064765F">
      <w:pPr>
        <w:pStyle w:val="NoSpacing"/>
        <w:rPr>
          <w:b/>
        </w:rPr>
      </w:pPr>
      <w:r>
        <w:rPr>
          <w:b/>
        </w:rPr>
        <w:t>County Income Patterns:</w:t>
      </w:r>
    </w:p>
    <w:p w:rsidR="00A8171B" w:rsidRDefault="00BC4C6D" w:rsidP="0064765F">
      <w:pPr>
        <w:pStyle w:val="NoSpacing"/>
      </w:pPr>
      <w:r>
        <w:t>Pulaski County generated over $1,820,487 of total personal income in 2008 according to the BEA.   Per capita income was $40,672 compared to the statewide at $36,356.  The median household income was at $44,540 which is also lower than the state average of $46,847.</w:t>
      </w:r>
      <w:r w:rsidR="00A8171B">
        <w:t xml:space="preserve">  Significant sources of income were:</w:t>
      </w:r>
    </w:p>
    <w:p w:rsidR="00A8171B" w:rsidRDefault="00A8171B" w:rsidP="00A8171B">
      <w:pPr>
        <w:pStyle w:val="NoSpacing"/>
        <w:numPr>
          <w:ilvl w:val="0"/>
          <w:numId w:val="1"/>
        </w:numPr>
      </w:pPr>
      <w:r>
        <w:t>Military $1,123,909 (61.7%)</w:t>
      </w:r>
    </w:p>
    <w:p w:rsidR="00A8171B" w:rsidRDefault="00A8171B" w:rsidP="00A8171B">
      <w:pPr>
        <w:pStyle w:val="NoSpacing"/>
        <w:numPr>
          <w:ilvl w:val="0"/>
          <w:numId w:val="1"/>
        </w:numPr>
      </w:pPr>
      <w:r>
        <w:t>Federal Civilian $285,416 (15.7%)</w:t>
      </w:r>
    </w:p>
    <w:p w:rsidR="00A8171B" w:rsidRDefault="00A8171B" w:rsidP="00A8171B">
      <w:pPr>
        <w:pStyle w:val="NoSpacing"/>
        <w:numPr>
          <w:ilvl w:val="0"/>
          <w:numId w:val="1"/>
        </w:numPr>
      </w:pPr>
      <w:r>
        <w:t>Personal current transfer receipts $216,670 (11.9%)</w:t>
      </w:r>
    </w:p>
    <w:p w:rsidR="00A8171B" w:rsidRDefault="00A8171B" w:rsidP="00A8171B">
      <w:pPr>
        <w:pStyle w:val="NoSpacing"/>
        <w:numPr>
          <w:ilvl w:val="0"/>
          <w:numId w:val="1"/>
        </w:numPr>
      </w:pPr>
      <w:r>
        <w:t>Dividends, interest, and rent $152,065 (8.4%)</w:t>
      </w:r>
    </w:p>
    <w:p w:rsidR="00BC4C6D" w:rsidRDefault="00BC4C6D" w:rsidP="0064765F">
      <w:pPr>
        <w:pStyle w:val="NoSpacing"/>
      </w:pPr>
      <w:r>
        <w:t xml:space="preserve"> </w:t>
      </w:r>
    </w:p>
    <w:p w:rsidR="00A8171B" w:rsidRDefault="00A8171B" w:rsidP="0064765F">
      <w:pPr>
        <w:pStyle w:val="NoSpacing"/>
      </w:pPr>
      <w:r>
        <w:t xml:space="preserve">In 2007, farming and agriculture statistics showed a total of 481 farms in Pulaski County.  </w:t>
      </w:r>
      <w:r w:rsidR="00DE0CF4">
        <w:t>Ag farm production costs in 2007 were approximately $266,000 which is higher than the statewide estimate of $262,000.  Farms in Pulaski County showed a net loss in 2007.</w:t>
      </w:r>
    </w:p>
    <w:p w:rsidR="00D4249F" w:rsidRDefault="00D4249F" w:rsidP="0064765F">
      <w:pPr>
        <w:pStyle w:val="NoSpacing"/>
      </w:pPr>
    </w:p>
    <w:p w:rsidR="00476EEF" w:rsidRDefault="00476EEF" w:rsidP="0064765F">
      <w:pPr>
        <w:pStyle w:val="NoSpacing"/>
      </w:pPr>
    </w:p>
    <w:p w:rsidR="00D4249F" w:rsidRDefault="00D4249F" w:rsidP="00D4249F">
      <w:pPr>
        <w:pStyle w:val="NoSpacing"/>
        <w:pBdr>
          <w:top w:val="single" w:sz="4" w:space="1" w:color="auto"/>
          <w:bottom w:val="single" w:sz="4" w:space="1" w:color="auto"/>
        </w:pBdr>
        <w:jc w:val="center"/>
        <w:rPr>
          <w:b/>
        </w:rPr>
      </w:pPr>
      <w:r>
        <w:rPr>
          <w:b/>
        </w:rPr>
        <w:lastRenderedPageBreak/>
        <w:t>Environmental Health Risk Factors</w:t>
      </w:r>
    </w:p>
    <w:p w:rsidR="00D4249F" w:rsidRDefault="00D4249F" w:rsidP="00D4249F">
      <w:pPr>
        <w:pStyle w:val="NoSpacing"/>
        <w:jc w:val="center"/>
        <w:rPr>
          <w:b/>
        </w:rPr>
      </w:pPr>
    </w:p>
    <w:p w:rsidR="00D4249F" w:rsidRDefault="00D4249F" w:rsidP="00D4249F">
      <w:pPr>
        <w:pStyle w:val="NoSpacing"/>
        <w:rPr>
          <w:b/>
        </w:rPr>
      </w:pPr>
      <w:r>
        <w:rPr>
          <w:b/>
        </w:rPr>
        <w:t>Housing:</w:t>
      </w:r>
    </w:p>
    <w:p w:rsidR="00D4249F" w:rsidRDefault="00D25631" w:rsidP="00D4249F">
      <w:pPr>
        <w:pStyle w:val="NoSpacing"/>
      </w:pPr>
      <w:r>
        <w:t xml:space="preserve">Pulaski County offers a wide range of housing with only about 10 percent of the units being built prior to 1950.  </w:t>
      </w:r>
      <w:r w:rsidR="00E83817">
        <w:t>Estimates for 2008, showed 73.6 percent live in unincorporated areas, 17.1 percent live in places of 2,500 or more population and 9.3 percent live in places with fewer than 2500 population.  Other characteristics are shown below in Table 2.1 and Table 2.2.</w:t>
      </w:r>
    </w:p>
    <w:p w:rsidR="00E83817" w:rsidRDefault="00E83817" w:rsidP="00D4249F">
      <w:pPr>
        <w:pStyle w:val="NoSpacing"/>
      </w:pPr>
    </w:p>
    <w:p w:rsidR="00E83817" w:rsidRPr="00D4249F" w:rsidRDefault="00E83817" w:rsidP="00D4249F">
      <w:pPr>
        <w:pStyle w:val="NoSpacing"/>
      </w:pPr>
    </w:p>
    <w:tbl>
      <w:tblPr>
        <w:tblStyle w:val="MediumGrid3-Accent1"/>
        <w:tblW w:w="0" w:type="auto"/>
        <w:jc w:val="center"/>
        <w:tblLook w:val="04A0" w:firstRow="1" w:lastRow="0" w:firstColumn="1" w:lastColumn="0" w:noHBand="0" w:noVBand="1"/>
      </w:tblPr>
      <w:tblGrid>
        <w:gridCol w:w="5505"/>
        <w:gridCol w:w="1000"/>
        <w:gridCol w:w="1363"/>
        <w:gridCol w:w="778"/>
      </w:tblGrid>
      <w:tr w:rsidR="002C2ADD" w:rsidRPr="002C2ADD" w:rsidTr="002C2A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rsidR="00281123" w:rsidRPr="002C2ADD" w:rsidRDefault="00281123" w:rsidP="002C2ADD">
            <w:pPr>
              <w:pStyle w:val="NoSpacing"/>
            </w:pPr>
            <w:r w:rsidRPr="002C2ADD">
              <w:t xml:space="preserve">Household  by Type, 2008                                                          </w:t>
            </w:r>
            <w:r w:rsidR="002C2ADD" w:rsidRPr="002C2ADD">
              <w:t xml:space="preserve">      Number      Per</w:t>
            </w:r>
            <w:r w:rsidRPr="002C2ADD">
              <w:t xml:space="preserve">centage </w:t>
            </w:r>
            <w:r w:rsidR="002C2ADD" w:rsidRPr="002C2ADD">
              <w:t xml:space="preserve">      </w:t>
            </w:r>
            <w:r w:rsidRPr="002C2ADD">
              <w:t>State</w:t>
            </w:r>
            <w:r w:rsidR="002C2ADD" w:rsidRPr="002C2ADD">
              <w:t xml:space="preserve">            </w:t>
            </w:r>
          </w:p>
        </w:tc>
      </w:tr>
      <w:tr w:rsidR="002C2ADD" w:rsidRPr="002C2ADD" w:rsidTr="002C2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Total Households</w:t>
            </w:r>
          </w:p>
        </w:tc>
        <w:tc>
          <w:tcPr>
            <w:tcW w:w="99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14,184</w:t>
            </w:r>
          </w:p>
        </w:tc>
        <w:tc>
          <w:tcPr>
            <w:tcW w:w="135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p>
        </w:tc>
        <w:tc>
          <w:tcPr>
            <w:tcW w:w="771"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p>
        </w:tc>
      </w:tr>
      <w:tr w:rsidR="002C2ADD" w:rsidRPr="002C2ADD" w:rsidTr="002C2ADD">
        <w:trPr>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 xml:space="preserve">     Family Households</w:t>
            </w:r>
          </w:p>
        </w:tc>
        <w:tc>
          <w:tcPr>
            <w:tcW w:w="99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9,594</w:t>
            </w:r>
          </w:p>
        </w:tc>
        <w:tc>
          <w:tcPr>
            <w:tcW w:w="135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67.6</w:t>
            </w:r>
          </w:p>
        </w:tc>
        <w:tc>
          <w:tcPr>
            <w:tcW w:w="771"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65.9</w:t>
            </w:r>
          </w:p>
        </w:tc>
      </w:tr>
      <w:tr w:rsidR="002C2ADD" w:rsidRPr="002C2ADD" w:rsidTr="002C2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 xml:space="preserve">         Married-couple families</w:t>
            </w:r>
          </w:p>
        </w:tc>
        <w:tc>
          <w:tcPr>
            <w:tcW w:w="99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5,277</w:t>
            </w:r>
          </w:p>
        </w:tc>
        <w:tc>
          <w:tcPr>
            <w:tcW w:w="135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54.7</w:t>
            </w:r>
          </w:p>
        </w:tc>
        <w:tc>
          <w:tcPr>
            <w:tcW w:w="771"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49.9</w:t>
            </w:r>
          </w:p>
        </w:tc>
      </w:tr>
      <w:tr w:rsidR="002C2ADD" w:rsidRPr="002C2ADD" w:rsidTr="002C2ADD">
        <w:trPr>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 xml:space="preserve">              with own children under 18 years</w:t>
            </w:r>
          </w:p>
        </w:tc>
        <w:tc>
          <w:tcPr>
            <w:tcW w:w="99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3,993</w:t>
            </w:r>
          </w:p>
        </w:tc>
        <w:tc>
          <w:tcPr>
            <w:tcW w:w="135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28.2</w:t>
            </w:r>
          </w:p>
        </w:tc>
        <w:tc>
          <w:tcPr>
            <w:tcW w:w="771"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20.6</w:t>
            </w:r>
          </w:p>
        </w:tc>
      </w:tr>
      <w:tr w:rsidR="002C2ADD" w:rsidRPr="002C2ADD" w:rsidTr="002C2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 xml:space="preserve">      Single Parent Households</w:t>
            </w:r>
          </w:p>
        </w:tc>
        <w:tc>
          <w:tcPr>
            <w:tcW w:w="99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1,838</w:t>
            </w:r>
          </w:p>
        </w:tc>
        <w:tc>
          <w:tcPr>
            <w:tcW w:w="135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13.0</w:t>
            </w:r>
          </w:p>
        </w:tc>
        <w:tc>
          <w:tcPr>
            <w:tcW w:w="771"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16.0</w:t>
            </w:r>
          </w:p>
        </w:tc>
      </w:tr>
      <w:tr w:rsidR="002C2ADD" w:rsidRPr="002C2ADD" w:rsidTr="002C2ADD">
        <w:trPr>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 xml:space="preserve">               Single Mothers</w:t>
            </w:r>
          </w:p>
        </w:tc>
        <w:tc>
          <w:tcPr>
            <w:tcW w:w="99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1,218</w:t>
            </w:r>
          </w:p>
        </w:tc>
        <w:tc>
          <w:tcPr>
            <w:tcW w:w="135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8.6</w:t>
            </w:r>
          </w:p>
        </w:tc>
        <w:tc>
          <w:tcPr>
            <w:tcW w:w="771" w:type="dxa"/>
          </w:tcPr>
          <w:p w:rsidR="00281123" w:rsidRPr="002C2ADD" w:rsidRDefault="002C2ADD"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11.8</w:t>
            </w:r>
          </w:p>
        </w:tc>
      </w:tr>
      <w:tr w:rsidR="002C2ADD" w:rsidRPr="002C2ADD" w:rsidTr="002C2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 xml:space="preserve">               Single Fathers</w:t>
            </w:r>
          </w:p>
        </w:tc>
        <w:tc>
          <w:tcPr>
            <w:tcW w:w="99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620</w:t>
            </w:r>
          </w:p>
        </w:tc>
        <w:tc>
          <w:tcPr>
            <w:tcW w:w="135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4.4</w:t>
            </w:r>
          </w:p>
        </w:tc>
        <w:tc>
          <w:tcPr>
            <w:tcW w:w="771" w:type="dxa"/>
          </w:tcPr>
          <w:p w:rsidR="00281123" w:rsidRPr="002C2ADD" w:rsidRDefault="002C2ADD"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4.2</w:t>
            </w:r>
          </w:p>
        </w:tc>
      </w:tr>
      <w:tr w:rsidR="002C2ADD" w:rsidRPr="002C2ADD" w:rsidTr="002C2ADD">
        <w:trPr>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 xml:space="preserve">      Nonfamily Households</w:t>
            </w:r>
          </w:p>
        </w:tc>
        <w:tc>
          <w:tcPr>
            <w:tcW w:w="99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4,590</w:t>
            </w:r>
          </w:p>
        </w:tc>
        <w:tc>
          <w:tcPr>
            <w:tcW w:w="135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32.4</w:t>
            </w:r>
          </w:p>
        </w:tc>
        <w:tc>
          <w:tcPr>
            <w:tcW w:w="771" w:type="dxa"/>
          </w:tcPr>
          <w:p w:rsidR="00281123" w:rsidRPr="002C2ADD" w:rsidRDefault="002C2ADD"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34.1</w:t>
            </w:r>
          </w:p>
        </w:tc>
      </w:tr>
      <w:tr w:rsidR="002C2ADD" w:rsidRPr="002C2ADD" w:rsidTr="002C2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 xml:space="preserve">                Householder living alone</w:t>
            </w:r>
          </w:p>
        </w:tc>
        <w:tc>
          <w:tcPr>
            <w:tcW w:w="99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4,125</w:t>
            </w:r>
          </w:p>
        </w:tc>
        <w:tc>
          <w:tcPr>
            <w:tcW w:w="1350" w:type="dxa"/>
          </w:tcPr>
          <w:p w:rsidR="00281123" w:rsidRPr="002C2ADD" w:rsidRDefault="00281123"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29.1</w:t>
            </w:r>
          </w:p>
        </w:tc>
        <w:tc>
          <w:tcPr>
            <w:tcW w:w="771" w:type="dxa"/>
          </w:tcPr>
          <w:p w:rsidR="00281123" w:rsidRPr="002C2ADD" w:rsidRDefault="002C2ADD" w:rsidP="0032031F">
            <w:pPr>
              <w:pStyle w:val="NoSpacing"/>
              <w:jc w:val="center"/>
              <w:cnfStyle w:val="000000100000" w:firstRow="0" w:lastRow="0" w:firstColumn="0" w:lastColumn="0" w:oddVBand="0" w:evenVBand="0" w:oddHBand="1" w:evenHBand="0" w:firstRowFirstColumn="0" w:firstRowLastColumn="0" w:lastRowFirstColumn="0" w:lastRowLastColumn="0"/>
            </w:pPr>
            <w:r w:rsidRPr="002C2ADD">
              <w:t>28.6</w:t>
            </w:r>
          </w:p>
        </w:tc>
      </w:tr>
      <w:tr w:rsidR="002C2ADD" w:rsidRPr="002C2ADD" w:rsidTr="002C2ADD">
        <w:trPr>
          <w:jc w:val="center"/>
        </w:trPr>
        <w:tc>
          <w:tcPr>
            <w:cnfStyle w:val="001000000000" w:firstRow="0" w:lastRow="0" w:firstColumn="1" w:lastColumn="0" w:oddVBand="0" w:evenVBand="0" w:oddHBand="0" w:evenHBand="0" w:firstRowFirstColumn="0" w:firstRowLastColumn="0" w:lastRowFirstColumn="0" w:lastRowLastColumn="0"/>
            <w:tcW w:w="5452" w:type="dxa"/>
          </w:tcPr>
          <w:p w:rsidR="00281123" w:rsidRPr="002C2ADD" w:rsidRDefault="00281123" w:rsidP="0032031F">
            <w:pPr>
              <w:pStyle w:val="NoSpacing"/>
              <w:rPr>
                <w:b w:val="0"/>
              </w:rPr>
            </w:pPr>
            <w:r w:rsidRPr="002C2ADD">
              <w:rPr>
                <w:b w:val="0"/>
              </w:rPr>
              <w:t xml:space="preserve">                     65 years and older living alone</w:t>
            </w:r>
          </w:p>
        </w:tc>
        <w:tc>
          <w:tcPr>
            <w:tcW w:w="99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1,099</w:t>
            </w:r>
          </w:p>
        </w:tc>
        <w:tc>
          <w:tcPr>
            <w:tcW w:w="1350" w:type="dxa"/>
          </w:tcPr>
          <w:p w:rsidR="00281123" w:rsidRPr="002C2ADD" w:rsidRDefault="00281123"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7.7</w:t>
            </w:r>
          </w:p>
        </w:tc>
        <w:tc>
          <w:tcPr>
            <w:tcW w:w="771" w:type="dxa"/>
          </w:tcPr>
          <w:p w:rsidR="00281123" w:rsidRPr="002C2ADD" w:rsidRDefault="002C2ADD" w:rsidP="0032031F">
            <w:pPr>
              <w:pStyle w:val="NoSpacing"/>
              <w:jc w:val="center"/>
              <w:cnfStyle w:val="000000000000" w:firstRow="0" w:lastRow="0" w:firstColumn="0" w:lastColumn="0" w:oddVBand="0" w:evenVBand="0" w:oddHBand="0" w:evenHBand="0" w:firstRowFirstColumn="0" w:firstRowLastColumn="0" w:lastRowFirstColumn="0" w:lastRowLastColumn="0"/>
            </w:pPr>
            <w:r w:rsidRPr="002C2ADD">
              <w:t>9.9</w:t>
            </w:r>
          </w:p>
        </w:tc>
      </w:tr>
    </w:tbl>
    <w:p w:rsidR="00D4249F" w:rsidRDefault="00281123" w:rsidP="00281123">
      <w:pPr>
        <w:pStyle w:val="NoSpacing"/>
        <w:rPr>
          <w:sz w:val="20"/>
          <w:szCs w:val="20"/>
        </w:rPr>
      </w:pPr>
      <w:r w:rsidRPr="00281123">
        <w:rPr>
          <w:sz w:val="20"/>
          <w:szCs w:val="20"/>
        </w:rPr>
        <w:t xml:space="preserve">          Table 2.1 –</w:t>
      </w:r>
      <w:r>
        <w:rPr>
          <w:sz w:val="20"/>
          <w:szCs w:val="20"/>
        </w:rPr>
        <w:t xml:space="preserve"> Source: UM Extension Social and Economic Profile, Pulaski County</w:t>
      </w:r>
    </w:p>
    <w:p w:rsidR="00281123" w:rsidRDefault="00281123" w:rsidP="00281123">
      <w:pPr>
        <w:pStyle w:val="NoSpacing"/>
        <w:rPr>
          <w:sz w:val="20"/>
          <w:szCs w:val="20"/>
        </w:rPr>
      </w:pPr>
    </w:p>
    <w:tbl>
      <w:tblPr>
        <w:tblStyle w:val="MediumGrid3-Accent1"/>
        <w:tblW w:w="9375" w:type="dxa"/>
        <w:jc w:val="center"/>
        <w:tblLook w:val="04A0" w:firstRow="1" w:lastRow="0" w:firstColumn="1" w:lastColumn="0" w:noHBand="0" w:noVBand="1"/>
      </w:tblPr>
      <w:tblGrid>
        <w:gridCol w:w="5955"/>
        <w:gridCol w:w="1366"/>
        <w:gridCol w:w="1261"/>
        <w:gridCol w:w="793"/>
      </w:tblGrid>
      <w:tr w:rsidR="002C2ADD" w:rsidRPr="002C2ADD" w:rsidTr="002C2A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5" w:type="dxa"/>
            <w:gridSpan w:val="4"/>
            <w:hideMark/>
          </w:tcPr>
          <w:p w:rsidR="002C2ADD" w:rsidRPr="002C2ADD" w:rsidRDefault="002C2ADD" w:rsidP="002C2ADD">
            <w:pPr>
              <w:rPr>
                <w:rFonts w:ascii="Times New Roman" w:eastAsia="Times New Roman" w:hAnsi="Times New Roman" w:cs="Times New Roman"/>
                <w:sz w:val="24"/>
                <w:szCs w:val="24"/>
              </w:rPr>
            </w:pPr>
            <w:r w:rsidRPr="002C2ADD">
              <w:rPr>
                <w:rFonts w:ascii="Times New Roman" w:eastAsia="Times New Roman" w:hAnsi="Times New Roman" w:cs="Times New Roman"/>
                <w:sz w:val="24"/>
                <w:szCs w:val="24"/>
              </w:rPr>
              <w:t xml:space="preserve">Population by Place Category, 2009 </w:t>
            </w:r>
            <w:r>
              <w:rPr>
                <w:rFonts w:ascii="Times New Roman" w:eastAsia="Times New Roman" w:hAnsi="Times New Roman" w:cs="Times New Roman"/>
                <w:sz w:val="24"/>
                <w:szCs w:val="24"/>
              </w:rPr>
              <w:t xml:space="preserve">                                         Number       Percent      State</w:t>
            </w:r>
          </w:p>
        </w:tc>
      </w:tr>
      <w:tr w:rsidR="002C2ADD" w:rsidRPr="002C2ADD" w:rsidTr="002C2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C2ADD" w:rsidRPr="002C2ADD" w:rsidRDefault="002C2ADD" w:rsidP="002C2ADD">
            <w:pPr>
              <w:rPr>
                <w:rFonts w:ascii="Times New Roman" w:eastAsia="Times New Roman" w:hAnsi="Times New Roman" w:cs="Times New Roman"/>
                <w:b w:val="0"/>
                <w:sz w:val="24"/>
                <w:szCs w:val="24"/>
              </w:rPr>
            </w:pPr>
            <w:r w:rsidRPr="002C2ADD">
              <w:rPr>
                <w:rFonts w:ascii="Times New Roman" w:eastAsia="Times New Roman" w:hAnsi="Times New Roman" w:cs="Times New Roman"/>
                <w:b w:val="0"/>
                <w:sz w:val="20"/>
                <w:szCs w:val="20"/>
              </w:rPr>
              <w:t xml:space="preserve">Living in incorporated places of 2500+ population </w:t>
            </w:r>
          </w:p>
        </w:tc>
        <w:tc>
          <w:tcPr>
            <w:tcW w:w="975" w:type="dxa"/>
            <w:hideMark/>
          </w:tcPr>
          <w:p w:rsidR="002C2ADD" w:rsidRPr="002C2ADD" w:rsidRDefault="002C2ADD" w:rsidP="002C2AD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C2ADD">
              <w:rPr>
                <w:rFonts w:ascii="Times New Roman" w:eastAsia="Times New Roman" w:hAnsi="Times New Roman" w:cs="Times New Roman"/>
                <w:sz w:val="20"/>
                <w:szCs w:val="20"/>
              </w:rPr>
              <w:t xml:space="preserve">7,929 </w:t>
            </w:r>
          </w:p>
        </w:tc>
        <w:tc>
          <w:tcPr>
            <w:tcW w:w="900" w:type="dxa"/>
            <w:hideMark/>
          </w:tcPr>
          <w:p w:rsidR="002C2ADD" w:rsidRPr="002C2ADD" w:rsidRDefault="002C2ADD" w:rsidP="002C2AD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C2ADD">
              <w:rPr>
                <w:rFonts w:ascii="Times New Roman" w:eastAsia="Times New Roman" w:hAnsi="Times New Roman" w:cs="Times New Roman"/>
                <w:sz w:val="20"/>
                <w:szCs w:val="20"/>
              </w:rPr>
              <w:t xml:space="preserve">17.1 </w:t>
            </w:r>
          </w:p>
        </w:tc>
        <w:tc>
          <w:tcPr>
            <w:tcW w:w="0" w:type="auto"/>
            <w:hideMark/>
          </w:tcPr>
          <w:p w:rsidR="002C2ADD" w:rsidRPr="002C2ADD" w:rsidRDefault="002C2ADD" w:rsidP="002C2AD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C2ADD">
              <w:rPr>
                <w:rFonts w:ascii="Times New Roman" w:eastAsia="Times New Roman" w:hAnsi="Times New Roman" w:cs="Times New Roman"/>
                <w:sz w:val="20"/>
                <w:szCs w:val="20"/>
              </w:rPr>
              <w:t xml:space="preserve">59.3 </w:t>
            </w:r>
          </w:p>
        </w:tc>
      </w:tr>
      <w:tr w:rsidR="002C2ADD" w:rsidRPr="002C2ADD" w:rsidTr="002C2AD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C2ADD" w:rsidRPr="002C2ADD" w:rsidRDefault="002C2ADD" w:rsidP="002C2ADD">
            <w:pPr>
              <w:rPr>
                <w:rFonts w:ascii="Times New Roman" w:eastAsia="Times New Roman" w:hAnsi="Times New Roman" w:cs="Times New Roman"/>
                <w:b w:val="0"/>
                <w:sz w:val="24"/>
                <w:szCs w:val="24"/>
              </w:rPr>
            </w:pPr>
            <w:r w:rsidRPr="002C2ADD">
              <w:rPr>
                <w:rFonts w:ascii="Times New Roman" w:eastAsia="Times New Roman" w:hAnsi="Times New Roman" w:cs="Times New Roman"/>
                <w:b w:val="0"/>
                <w:sz w:val="20"/>
                <w:szCs w:val="20"/>
              </w:rPr>
              <w:t xml:space="preserve">Living in incorporated places of less than 2500 </w:t>
            </w:r>
          </w:p>
        </w:tc>
        <w:tc>
          <w:tcPr>
            <w:tcW w:w="975" w:type="dxa"/>
            <w:hideMark/>
          </w:tcPr>
          <w:p w:rsidR="002C2ADD" w:rsidRPr="002C2ADD" w:rsidRDefault="002C2ADD" w:rsidP="002C2AD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C2ADD">
              <w:rPr>
                <w:rFonts w:ascii="Times New Roman" w:eastAsia="Times New Roman" w:hAnsi="Times New Roman" w:cs="Times New Roman"/>
                <w:sz w:val="20"/>
                <w:szCs w:val="20"/>
              </w:rPr>
              <w:t xml:space="preserve">4,337 </w:t>
            </w:r>
          </w:p>
        </w:tc>
        <w:tc>
          <w:tcPr>
            <w:tcW w:w="900" w:type="dxa"/>
            <w:hideMark/>
          </w:tcPr>
          <w:p w:rsidR="002C2ADD" w:rsidRPr="002C2ADD" w:rsidRDefault="002C2ADD" w:rsidP="002C2AD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C2ADD">
              <w:rPr>
                <w:rFonts w:ascii="Times New Roman" w:eastAsia="Times New Roman" w:hAnsi="Times New Roman" w:cs="Times New Roman"/>
                <w:sz w:val="20"/>
                <w:szCs w:val="20"/>
              </w:rPr>
              <w:t xml:space="preserve">9.3 </w:t>
            </w:r>
          </w:p>
        </w:tc>
        <w:tc>
          <w:tcPr>
            <w:tcW w:w="0" w:type="auto"/>
            <w:hideMark/>
          </w:tcPr>
          <w:p w:rsidR="002C2ADD" w:rsidRPr="002C2ADD" w:rsidRDefault="002C2ADD" w:rsidP="002C2AD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C2ADD">
              <w:rPr>
                <w:rFonts w:ascii="Times New Roman" w:eastAsia="Times New Roman" w:hAnsi="Times New Roman" w:cs="Times New Roman"/>
                <w:sz w:val="20"/>
                <w:szCs w:val="20"/>
              </w:rPr>
              <w:t xml:space="preserve">7.1 </w:t>
            </w:r>
          </w:p>
        </w:tc>
      </w:tr>
      <w:tr w:rsidR="002C2ADD" w:rsidRPr="002C2ADD" w:rsidTr="002C2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C2ADD" w:rsidRPr="002C2ADD" w:rsidRDefault="002C2ADD" w:rsidP="002C2ADD">
            <w:pPr>
              <w:rPr>
                <w:rFonts w:ascii="Times New Roman" w:eastAsia="Times New Roman" w:hAnsi="Times New Roman" w:cs="Times New Roman"/>
                <w:b w:val="0"/>
                <w:sz w:val="24"/>
                <w:szCs w:val="24"/>
              </w:rPr>
            </w:pPr>
            <w:r w:rsidRPr="002C2ADD">
              <w:rPr>
                <w:rFonts w:ascii="Times New Roman" w:eastAsia="Times New Roman" w:hAnsi="Times New Roman" w:cs="Times New Roman"/>
                <w:b w:val="0"/>
                <w:sz w:val="20"/>
                <w:szCs w:val="20"/>
              </w:rPr>
              <w:t xml:space="preserve">Living in an unincorporated area </w:t>
            </w:r>
          </w:p>
        </w:tc>
        <w:tc>
          <w:tcPr>
            <w:tcW w:w="975" w:type="dxa"/>
            <w:hideMark/>
          </w:tcPr>
          <w:p w:rsidR="002C2ADD" w:rsidRPr="002C2ADD" w:rsidRDefault="002C2ADD" w:rsidP="002C2AD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C2ADD">
              <w:rPr>
                <w:rFonts w:ascii="Times New Roman" w:eastAsia="Times New Roman" w:hAnsi="Times New Roman" w:cs="Times New Roman"/>
                <w:sz w:val="20"/>
                <w:szCs w:val="20"/>
              </w:rPr>
              <w:t xml:space="preserve">34,191 </w:t>
            </w:r>
          </w:p>
        </w:tc>
        <w:tc>
          <w:tcPr>
            <w:tcW w:w="900" w:type="dxa"/>
            <w:hideMark/>
          </w:tcPr>
          <w:p w:rsidR="002C2ADD" w:rsidRPr="002C2ADD" w:rsidRDefault="002C2ADD" w:rsidP="002C2AD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C2ADD">
              <w:rPr>
                <w:rFonts w:ascii="Times New Roman" w:eastAsia="Times New Roman" w:hAnsi="Times New Roman" w:cs="Times New Roman"/>
                <w:sz w:val="20"/>
                <w:szCs w:val="20"/>
              </w:rPr>
              <w:t xml:space="preserve">73.6 </w:t>
            </w:r>
          </w:p>
        </w:tc>
        <w:tc>
          <w:tcPr>
            <w:tcW w:w="0" w:type="auto"/>
            <w:hideMark/>
          </w:tcPr>
          <w:p w:rsidR="002C2ADD" w:rsidRPr="002C2ADD" w:rsidRDefault="002C2ADD" w:rsidP="002C2AD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C2ADD">
              <w:rPr>
                <w:rFonts w:ascii="Times New Roman" w:eastAsia="Times New Roman" w:hAnsi="Times New Roman" w:cs="Times New Roman"/>
                <w:sz w:val="20"/>
                <w:szCs w:val="20"/>
              </w:rPr>
              <w:t>33.7</w:t>
            </w:r>
          </w:p>
        </w:tc>
      </w:tr>
    </w:tbl>
    <w:p w:rsidR="00281123" w:rsidRPr="002C2ADD" w:rsidRDefault="002C2ADD" w:rsidP="00281123">
      <w:pPr>
        <w:pStyle w:val="NoSpacing"/>
        <w:rPr>
          <w:sz w:val="20"/>
          <w:szCs w:val="20"/>
        </w:rPr>
      </w:pPr>
      <w:r>
        <w:rPr>
          <w:sz w:val="20"/>
          <w:szCs w:val="20"/>
        </w:rPr>
        <w:t>Table 2.2- Source: UM Extension Social and Economic Profile, Pulaski County</w:t>
      </w:r>
    </w:p>
    <w:p w:rsidR="000F4783" w:rsidRPr="002C2ADD" w:rsidRDefault="000F4783" w:rsidP="0064765F">
      <w:pPr>
        <w:pStyle w:val="NoSpacing"/>
      </w:pPr>
    </w:p>
    <w:p w:rsidR="000F4783" w:rsidRDefault="002C2ADD" w:rsidP="002C2ADD">
      <w:pPr>
        <w:pStyle w:val="NoSpacing"/>
        <w:rPr>
          <w:b/>
        </w:rPr>
      </w:pPr>
      <w:r>
        <w:rPr>
          <w:b/>
        </w:rPr>
        <w:t>Lead Testing:</w:t>
      </w:r>
    </w:p>
    <w:p w:rsidR="000F4783" w:rsidRDefault="00553060" w:rsidP="00020485">
      <w:pPr>
        <w:pStyle w:val="NoSpacing"/>
      </w:pPr>
      <w:r>
        <w:t xml:space="preserve">Pulaski County is a non-high risk area for lead screening.  Medicaid children are tested at 12 months and 24 months.  The county lead screening reporting rates are low but are steadily increasing. </w:t>
      </w:r>
      <w:r w:rsidR="00D52C3E">
        <w:t xml:space="preserve">Our rates are low mostly due to the number of military children being tested at the General Leonard Wood Army Community Hospital (GLWACH).  FLW is not a part of the Missouri Department of Health and Senior Services reporting system.  </w:t>
      </w:r>
      <w:r>
        <w:t xml:space="preserve">Although reporting rates are relatively low, the testing outcomes are very good.  </w:t>
      </w:r>
    </w:p>
    <w:p w:rsidR="00D52C3E" w:rsidRDefault="00D52C3E" w:rsidP="00020485">
      <w:pPr>
        <w:pStyle w:val="NoSpacing"/>
      </w:pPr>
      <w:r>
        <w:t>The Pulaski County Health Department has continued its efforts to educate on lead.  Children under the age of six are screened on a yearly basis and are tested based upon any positive responses indicating the child is at high risk for lead poisoning.  Efforts are continuously made to improve the reporting process and rates.</w:t>
      </w:r>
    </w:p>
    <w:p w:rsidR="00D52C3E" w:rsidRDefault="00D52C3E" w:rsidP="00020485">
      <w:pPr>
        <w:pStyle w:val="NoSpacing"/>
      </w:pPr>
    </w:p>
    <w:p w:rsidR="00D52C3E" w:rsidRDefault="00D52C3E" w:rsidP="00020485">
      <w:pPr>
        <w:pStyle w:val="NoSpacing"/>
        <w:rPr>
          <w:b/>
        </w:rPr>
      </w:pPr>
      <w:r>
        <w:rPr>
          <w:b/>
        </w:rPr>
        <w:t>Public Water Supplies:</w:t>
      </w:r>
    </w:p>
    <w:p w:rsidR="00D52C3E" w:rsidRDefault="00D52C3E" w:rsidP="00020485">
      <w:pPr>
        <w:pStyle w:val="NoSpacing"/>
      </w:pPr>
      <w:r>
        <w:t>Pulaski County is well within the normal and safe range of standards for water.  The drinking water supply is fluoridated in Waynesville, Richland, and Dixon.  Crocker decided to discontinue fluoridation of their water system due to cost.  Most of the citizens of Pulaski County have access to public water supply systems.  The water is tested for lead and other contaminates and is generally not an issue in public water available in Pulaski County.</w:t>
      </w:r>
    </w:p>
    <w:p w:rsidR="00D52C3E" w:rsidRDefault="00D52C3E" w:rsidP="00020485">
      <w:pPr>
        <w:pStyle w:val="NoSpacing"/>
      </w:pPr>
    </w:p>
    <w:p w:rsidR="00B825FC" w:rsidRDefault="00B825FC" w:rsidP="00020485">
      <w:pPr>
        <w:pStyle w:val="NoSpacing"/>
        <w:rPr>
          <w:b/>
        </w:rPr>
      </w:pPr>
    </w:p>
    <w:p w:rsidR="00B825FC" w:rsidRDefault="00B825FC" w:rsidP="00020485">
      <w:pPr>
        <w:pStyle w:val="NoSpacing"/>
        <w:rPr>
          <w:b/>
        </w:rPr>
      </w:pPr>
    </w:p>
    <w:p w:rsidR="00B825FC" w:rsidRDefault="00B825FC" w:rsidP="00020485">
      <w:pPr>
        <w:pStyle w:val="NoSpacing"/>
        <w:rPr>
          <w:b/>
        </w:rPr>
      </w:pPr>
    </w:p>
    <w:p w:rsidR="00B825FC" w:rsidRDefault="00B825FC" w:rsidP="00020485">
      <w:pPr>
        <w:pStyle w:val="NoSpacing"/>
        <w:rPr>
          <w:b/>
        </w:rPr>
      </w:pPr>
    </w:p>
    <w:p w:rsidR="00D52C3E" w:rsidRDefault="00D52C3E" w:rsidP="00020485">
      <w:pPr>
        <w:pStyle w:val="NoSpacing"/>
        <w:rPr>
          <w:b/>
        </w:rPr>
      </w:pPr>
      <w:r>
        <w:rPr>
          <w:b/>
        </w:rPr>
        <w:lastRenderedPageBreak/>
        <w:t>Food, Lodging, and Day Care Safety:</w:t>
      </w:r>
    </w:p>
    <w:p w:rsidR="00C8323B" w:rsidRDefault="00C8323B" w:rsidP="00020485">
      <w:pPr>
        <w:pStyle w:val="NoSpacing"/>
      </w:pPr>
      <w:r>
        <w:t xml:space="preserve">Pulaski County has seen a continued growth of restaurants, lodging facilities and day cares due to the growth of military personnel at Ft Leonard Wood.  </w:t>
      </w:r>
      <w:r w:rsidR="00782753">
        <w:t>During 2009, the environmental staff worked 29 recalls requiring visits to grocery stores, schools and other facilities.  The total number of inspections and trainings in 2009 are as follows:</w:t>
      </w:r>
    </w:p>
    <w:p w:rsidR="00782753" w:rsidRPr="00782753" w:rsidRDefault="00782753" w:rsidP="00782753">
      <w:pPr>
        <w:pStyle w:val="NoSpacing"/>
        <w:numPr>
          <w:ilvl w:val="0"/>
          <w:numId w:val="6"/>
        </w:numPr>
        <w:rPr>
          <w:b/>
        </w:rPr>
      </w:pPr>
      <w:r w:rsidRPr="00782753">
        <w:rPr>
          <w:b/>
        </w:rPr>
        <w:t>Food Establishments-423</w:t>
      </w:r>
    </w:p>
    <w:p w:rsidR="00782753" w:rsidRPr="00782753" w:rsidRDefault="00782753" w:rsidP="00782753">
      <w:pPr>
        <w:pStyle w:val="NoSpacing"/>
        <w:numPr>
          <w:ilvl w:val="0"/>
          <w:numId w:val="6"/>
        </w:numPr>
        <w:rPr>
          <w:b/>
        </w:rPr>
      </w:pPr>
      <w:r w:rsidRPr="00782753">
        <w:rPr>
          <w:b/>
        </w:rPr>
        <w:t>Lodging Facilities-79</w:t>
      </w:r>
    </w:p>
    <w:p w:rsidR="00782753" w:rsidRPr="00782753" w:rsidRDefault="00782753" w:rsidP="00782753">
      <w:pPr>
        <w:pStyle w:val="NoSpacing"/>
        <w:numPr>
          <w:ilvl w:val="0"/>
          <w:numId w:val="6"/>
        </w:numPr>
        <w:rPr>
          <w:b/>
        </w:rPr>
      </w:pPr>
      <w:r w:rsidRPr="00782753">
        <w:rPr>
          <w:b/>
        </w:rPr>
        <w:t>Child Care Facilities-61</w:t>
      </w:r>
    </w:p>
    <w:p w:rsidR="00782753" w:rsidRPr="00782753" w:rsidRDefault="00782753" w:rsidP="00782753">
      <w:pPr>
        <w:pStyle w:val="NoSpacing"/>
        <w:numPr>
          <w:ilvl w:val="0"/>
          <w:numId w:val="6"/>
        </w:numPr>
        <w:rPr>
          <w:b/>
        </w:rPr>
      </w:pPr>
      <w:r w:rsidRPr="00782753">
        <w:rPr>
          <w:b/>
        </w:rPr>
        <w:t>On-site Wastewater Systems (OSWT)-103</w:t>
      </w:r>
    </w:p>
    <w:p w:rsidR="00782753" w:rsidRPr="00782753" w:rsidRDefault="00782753" w:rsidP="00782753">
      <w:pPr>
        <w:pStyle w:val="NoSpacing"/>
        <w:numPr>
          <w:ilvl w:val="0"/>
          <w:numId w:val="6"/>
        </w:numPr>
        <w:rPr>
          <w:b/>
        </w:rPr>
      </w:pPr>
      <w:r w:rsidRPr="00782753">
        <w:rPr>
          <w:b/>
        </w:rPr>
        <w:t>Complaint investigations -43</w:t>
      </w:r>
    </w:p>
    <w:p w:rsidR="00782753" w:rsidRPr="00782753" w:rsidRDefault="00782753" w:rsidP="00782753">
      <w:pPr>
        <w:pStyle w:val="NoSpacing"/>
        <w:numPr>
          <w:ilvl w:val="0"/>
          <w:numId w:val="6"/>
        </w:numPr>
        <w:rPr>
          <w:b/>
        </w:rPr>
      </w:pPr>
      <w:r w:rsidRPr="00782753">
        <w:rPr>
          <w:b/>
        </w:rPr>
        <w:t>Truck wreck/Fire-6</w:t>
      </w:r>
    </w:p>
    <w:p w:rsidR="00782753" w:rsidRPr="00782753" w:rsidRDefault="00782753" w:rsidP="00782753">
      <w:pPr>
        <w:pStyle w:val="NoSpacing"/>
        <w:numPr>
          <w:ilvl w:val="0"/>
          <w:numId w:val="6"/>
        </w:numPr>
        <w:rPr>
          <w:b/>
        </w:rPr>
      </w:pPr>
      <w:r w:rsidRPr="00782753">
        <w:rPr>
          <w:b/>
        </w:rPr>
        <w:t>Food Handler Trainings-207</w:t>
      </w:r>
    </w:p>
    <w:p w:rsidR="00782753" w:rsidRPr="00782753" w:rsidRDefault="00782753" w:rsidP="00782753">
      <w:pPr>
        <w:pStyle w:val="NoSpacing"/>
        <w:numPr>
          <w:ilvl w:val="0"/>
          <w:numId w:val="6"/>
        </w:numPr>
        <w:rPr>
          <w:b/>
        </w:rPr>
      </w:pPr>
      <w:r w:rsidRPr="00782753">
        <w:rPr>
          <w:b/>
        </w:rPr>
        <w:t>OWTS Installer Trainings-23</w:t>
      </w:r>
    </w:p>
    <w:p w:rsidR="00782753" w:rsidRDefault="00782753" w:rsidP="00020485">
      <w:pPr>
        <w:pStyle w:val="NoSpacing"/>
      </w:pPr>
    </w:p>
    <w:p w:rsidR="00CC4D3B" w:rsidRDefault="00782753" w:rsidP="00020485">
      <w:pPr>
        <w:pStyle w:val="NoSpacing"/>
      </w:pPr>
      <w:r>
        <w:t>Also in 2009, one environmental staff person was certified by the Missouri Board of Certification for Environmental Health Professionals.</w:t>
      </w:r>
    </w:p>
    <w:p w:rsidR="00CC4D3B" w:rsidRDefault="00CC4D3B" w:rsidP="00020485">
      <w:pPr>
        <w:pStyle w:val="NoSpacing"/>
      </w:pPr>
    </w:p>
    <w:p w:rsidR="00CC4D3B" w:rsidRDefault="00CC4D3B" w:rsidP="00020485">
      <w:pPr>
        <w:pStyle w:val="NoSpacing"/>
      </w:pPr>
    </w:p>
    <w:p w:rsidR="00CC4D3B" w:rsidRDefault="00CC4D3B" w:rsidP="00CC4D3B">
      <w:pPr>
        <w:pStyle w:val="NoSpacing"/>
        <w:pBdr>
          <w:top w:val="single" w:sz="4" w:space="1" w:color="auto"/>
          <w:bottom w:val="single" w:sz="4" w:space="1" w:color="auto"/>
        </w:pBdr>
        <w:jc w:val="center"/>
        <w:rPr>
          <w:b/>
        </w:rPr>
      </w:pPr>
      <w:r>
        <w:rPr>
          <w:b/>
        </w:rPr>
        <w:t>Public Safety/Domestic Violence</w:t>
      </w:r>
    </w:p>
    <w:p w:rsidR="00CC4D3B" w:rsidRDefault="00CC4D3B" w:rsidP="00CC4D3B">
      <w:pPr>
        <w:pStyle w:val="NoSpacing"/>
        <w:jc w:val="center"/>
        <w:rPr>
          <w:b/>
        </w:rPr>
      </w:pPr>
    </w:p>
    <w:p w:rsidR="00CC4D3B" w:rsidRDefault="00CC4D3B" w:rsidP="00CC4D3B">
      <w:pPr>
        <w:pStyle w:val="NoSpacing"/>
        <w:rPr>
          <w:b/>
        </w:rPr>
      </w:pPr>
      <w:r>
        <w:rPr>
          <w:b/>
        </w:rPr>
        <w:t>Crime Rates:</w:t>
      </w:r>
    </w:p>
    <w:p w:rsidR="00CC4D3B" w:rsidRDefault="00DE76B4" w:rsidP="00CC4D3B">
      <w:pPr>
        <w:pStyle w:val="NoSpacing"/>
      </w:pPr>
      <w:r>
        <w:t xml:space="preserve">The health of the community is negatively impacted by crime and substance abuse for stress, fear, injuries, and addictions </w:t>
      </w:r>
      <w:r w:rsidR="00332BF1">
        <w:t xml:space="preserve">that </w:t>
      </w:r>
      <w:r>
        <w:t xml:space="preserve">prevent some county residents from reaching their fullest potential.  In 2007, law enforcement made 1,640 total arrests.  Violent crimes, property damage and domestic violence reports accounted for 1,163 of these arrests and also for 155 referrals to the Juvenile Court system.  </w:t>
      </w:r>
      <w:r w:rsidR="007F395D">
        <w:t>Referrals were also made to the juvenile system for 180 cases of truancy, 17 cases of beyond parental control, 26 cases of runaways, and 206 cases of injurious behavior.</w:t>
      </w:r>
    </w:p>
    <w:p w:rsidR="007F395D" w:rsidRDefault="007F395D" w:rsidP="00CC4D3B">
      <w:pPr>
        <w:pStyle w:val="NoSpacing"/>
      </w:pPr>
    </w:p>
    <w:p w:rsidR="007F395D" w:rsidRDefault="007F395D" w:rsidP="00CC4D3B">
      <w:pPr>
        <w:pStyle w:val="NoSpacing"/>
      </w:pPr>
      <w:r>
        <w:t>For the time period of 1998-2008, Pulaski County’s cause of death due to assault injuries of 4.4 is statistically significantly lower than the statewide rate of 7.14 (</w:t>
      </w:r>
      <w:r w:rsidRPr="007F395D">
        <w:t>Death rates are per year per 100,000 population and are age-adjusted to th</w:t>
      </w:r>
      <w:r>
        <w:t>e U.S. 2000 standard population).  County rates for hospitalizations (1.5) and ER Visits (1.7) for assault injuries are also lower than the statewide average (3.12 and 4.05 respectively).</w:t>
      </w:r>
    </w:p>
    <w:p w:rsidR="007F395D" w:rsidRDefault="007F395D" w:rsidP="00CC4D3B">
      <w:pPr>
        <w:pStyle w:val="NoSpacing"/>
      </w:pPr>
    </w:p>
    <w:p w:rsidR="007F395D" w:rsidRDefault="00B0758E" w:rsidP="00CC4D3B">
      <w:pPr>
        <w:pStyle w:val="NoSpacing"/>
        <w:rPr>
          <w:b/>
        </w:rPr>
      </w:pPr>
      <w:r>
        <w:rPr>
          <w:b/>
        </w:rPr>
        <w:t>Illegal Drug Use and Alcohol Abuse:</w:t>
      </w:r>
    </w:p>
    <w:p w:rsidR="00B0758E" w:rsidRDefault="00B0758E" w:rsidP="00B0758E">
      <w:pPr>
        <w:pStyle w:val="NoSpacing"/>
      </w:pPr>
      <w:r>
        <w:t xml:space="preserve">Concern of illegal drug use and alcohol abuse continues to exist.  Methamphetamine lab incidents for 2005-2007 had a significant decrease of 10 incidents compared to 113 incidents from the previous three year period.  </w:t>
      </w:r>
      <w:r w:rsidR="000B5DDB">
        <w:t xml:space="preserve">In 2007, fewer arrest were made (477) related to drug and alcohol use/abuse than in previous years (586 in 2006, 692 in 2005).  Juvenile Courts saw 42 cases of minors with offenses associated with drugs and alcohol abuse and 12 cases where parents were abusing drugs and/or alcohol.   </w:t>
      </w:r>
      <w:r w:rsidR="0022285E">
        <w:t>Alcohol contributed statistics include 240 Hospital/ER visits, 4 drinking prenatally, and 2 deaths. Drug related statistics include 253 Hospital/ER visits and 6 deaths.</w:t>
      </w:r>
    </w:p>
    <w:p w:rsidR="0022285E" w:rsidRDefault="0022285E" w:rsidP="00B0758E">
      <w:pPr>
        <w:pStyle w:val="NoSpacing"/>
      </w:pPr>
    </w:p>
    <w:p w:rsidR="0022285E" w:rsidRDefault="0022285E" w:rsidP="00B0758E">
      <w:pPr>
        <w:pStyle w:val="NoSpacing"/>
        <w:rPr>
          <w:b/>
        </w:rPr>
      </w:pPr>
      <w:r>
        <w:rPr>
          <w:b/>
        </w:rPr>
        <w:t>Abuse and Neglect:</w:t>
      </w:r>
    </w:p>
    <w:p w:rsidR="0022285E" w:rsidRDefault="0022285E" w:rsidP="0022285E">
      <w:pPr>
        <w:pStyle w:val="NoSpacing"/>
      </w:pPr>
      <w:r>
        <w:t xml:space="preserve">The abuse and neglect of the children in our community impacts everyone.  </w:t>
      </w:r>
      <w:r w:rsidR="00B8712F">
        <w:t xml:space="preserve">Pulaski County’s rate of child abuse/neglect has continued to decline since 2000, however, is still higher than the statewide average rates.  Table 3.1 show a comparison of the rate of child abuse/neglect in 2007 of Pulaski County, Missouri, and surrounding counties.  Table 3.2 </w:t>
      </w:r>
      <w:r w:rsidR="00102214">
        <w:t>depicts</w:t>
      </w:r>
      <w:r w:rsidR="00B8712F">
        <w:t xml:space="preserve"> the average moving rates for Pulaski County and the State of Missouri.</w:t>
      </w:r>
    </w:p>
    <w:p w:rsidR="0022285E" w:rsidRDefault="0022285E" w:rsidP="0022285E">
      <w:pPr>
        <w:pStyle w:val="NoSpacing"/>
      </w:pPr>
    </w:p>
    <w:p w:rsidR="0022285E" w:rsidRPr="0022285E" w:rsidRDefault="0022285E" w:rsidP="0022285E">
      <w:pPr>
        <w:pStyle w:val="NoSpacing"/>
        <w:jc w:val="center"/>
      </w:pPr>
      <w:r w:rsidRPr="0022285E">
        <w:rPr>
          <w:noProof/>
        </w:rPr>
        <w:drawing>
          <wp:inline distT="0" distB="0" distL="0" distR="0">
            <wp:extent cx="5495925" cy="2838450"/>
            <wp:effectExtent l="95250" t="95250" r="104775" b="762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712F" w:rsidRPr="00B8712F" w:rsidRDefault="00B8712F" w:rsidP="00B8712F">
      <w:pPr>
        <w:tabs>
          <w:tab w:val="left" w:pos="7804"/>
        </w:tabs>
        <w:spacing w:after="0" w:line="240" w:lineRule="auto"/>
        <w:ind w:left="108"/>
        <w:rPr>
          <w:rFonts w:ascii="Calibri" w:eastAsia="Times New Roman" w:hAnsi="Calibri" w:cs="Times New Roman"/>
          <w:color w:val="000000"/>
          <w:sz w:val="20"/>
          <w:szCs w:val="20"/>
        </w:rPr>
      </w:pPr>
      <w:r>
        <w:rPr>
          <w:rFonts w:ascii="Calibri" w:eastAsia="Times New Roman" w:hAnsi="Calibri" w:cs="Times New Roman"/>
          <w:color w:val="000000"/>
        </w:rPr>
        <w:t xml:space="preserve">     </w:t>
      </w:r>
      <w:r>
        <w:rPr>
          <w:rFonts w:ascii="Calibri" w:eastAsia="Times New Roman" w:hAnsi="Calibri" w:cs="Times New Roman"/>
          <w:color w:val="000000"/>
          <w:sz w:val="20"/>
          <w:szCs w:val="20"/>
        </w:rPr>
        <w:t>Table 3.1-</w:t>
      </w:r>
      <w:r w:rsidRPr="00B8712F">
        <w:rPr>
          <w:rFonts w:ascii="Calibri" w:eastAsia="Times New Roman" w:hAnsi="Calibri" w:cs="Times New Roman"/>
          <w:color w:val="000000"/>
          <w:sz w:val="20"/>
          <w:szCs w:val="20"/>
        </w:rPr>
        <w:t>Rates for Child Abuse/Neglect indicators are per year per 1000 population.</w:t>
      </w:r>
      <w:r w:rsidRPr="00B8712F">
        <w:rPr>
          <w:rFonts w:ascii="Calibri" w:eastAsia="Times New Roman" w:hAnsi="Calibri" w:cs="Times New Roman"/>
          <w:color w:val="000000"/>
          <w:sz w:val="20"/>
          <w:szCs w:val="20"/>
        </w:rPr>
        <w:tab/>
      </w:r>
    </w:p>
    <w:p w:rsidR="00B8712F" w:rsidRPr="00B8712F" w:rsidRDefault="00B8712F" w:rsidP="00B8712F">
      <w:pPr>
        <w:spacing w:after="0" w:line="240" w:lineRule="auto"/>
        <w:ind w:left="108"/>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Pr="00B8712F">
        <w:rPr>
          <w:rFonts w:ascii="Calibri" w:eastAsia="Times New Roman" w:hAnsi="Calibri" w:cs="Times New Roman"/>
          <w:color w:val="000000"/>
          <w:sz w:val="20"/>
          <w:szCs w:val="20"/>
        </w:rPr>
        <w:t>Source:  Community Data Profiles - Missouri Department of Health and Senior Services</w:t>
      </w:r>
      <w:r w:rsidRPr="00B8712F">
        <w:rPr>
          <w:rFonts w:ascii="Calibri" w:eastAsia="Times New Roman" w:hAnsi="Calibri" w:cs="Times New Roman"/>
          <w:color w:val="000000"/>
        </w:rPr>
        <w:t xml:space="preserve"> </w:t>
      </w:r>
    </w:p>
    <w:p w:rsidR="00CC4D3B" w:rsidRDefault="00CC4D3B" w:rsidP="00020485">
      <w:pPr>
        <w:pStyle w:val="NoSpacing"/>
      </w:pPr>
    </w:p>
    <w:p w:rsidR="00B8712F" w:rsidRDefault="00B8712F" w:rsidP="00020485">
      <w:pPr>
        <w:pStyle w:val="NoSpacing"/>
      </w:pPr>
    </w:p>
    <w:p w:rsidR="00B8712F" w:rsidRDefault="00B8712F" w:rsidP="00020485">
      <w:pPr>
        <w:pStyle w:val="NoSpacing"/>
      </w:pPr>
    </w:p>
    <w:p w:rsidR="00B8712F" w:rsidRDefault="00B8712F" w:rsidP="00020485">
      <w:pPr>
        <w:pStyle w:val="NoSpacing"/>
      </w:pPr>
    </w:p>
    <w:p w:rsidR="00B8712F" w:rsidRDefault="00B8712F" w:rsidP="00020485">
      <w:pPr>
        <w:pStyle w:val="NoSpacing"/>
      </w:pPr>
    </w:p>
    <w:p w:rsidR="00B8712F" w:rsidRDefault="00B8712F" w:rsidP="00B8712F">
      <w:pPr>
        <w:pStyle w:val="NoSpacing"/>
        <w:jc w:val="center"/>
      </w:pPr>
      <w:r w:rsidRPr="0022285E">
        <w:rPr>
          <w:noProof/>
        </w:rPr>
        <w:drawing>
          <wp:inline distT="0" distB="0" distL="0" distR="0">
            <wp:extent cx="5648325" cy="3038475"/>
            <wp:effectExtent l="95250" t="95250" r="104775" b="6667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712F" w:rsidRPr="00B8712F" w:rsidRDefault="00B8712F" w:rsidP="00B8712F">
      <w:pPr>
        <w:tabs>
          <w:tab w:val="left" w:pos="7804"/>
        </w:tabs>
        <w:spacing w:after="0" w:line="240" w:lineRule="auto"/>
        <w:ind w:left="108"/>
        <w:rPr>
          <w:rFonts w:ascii="Calibri" w:eastAsia="Times New Roman" w:hAnsi="Calibri" w:cs="Times New Roman"/>
          <w:color w:val="000000"/>
          <w:sz w:val="20"/>
          <w:szCs w:val="20"/>
        </w:rPr>
      </w:pPr>
      <w:r>
        <w:rPr>
          <w:rFonts w:ascii="Calibri" w:eastAsia="Times New Roman" w:hAnsi="Calibri" w:cs="Times New Roman"/>
          <w:color w:val="000000"/>
        </w:rPr>
        <w:t xml:space="preserve">   </w:t>
      </w:r>
      <w:r>
        <w:rPr>
          <w:rFonts w:ascii="Calibri" w:eastAsia="Times New Roman" w:hAnsi="Calibri" w:cs="Times New Roman"/>
          <w:color w:val="000000"/>
          <w:sz w:val="20"/>
          <w:szCs w:val="20"/>
        </w:rPr>
        <w:t>Table 3.</w:t>
      </w:r>
      <w:r w:rsidR="00703C4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Pr="00B8712F">
        <w:rPr>
          <w:rFonts w:ascii="Calibri" w:eastAsia="Times New Roman" w:hAnsi="Calibri" w:cs="Times New Roman"/>
          <w:color w:val="000000"/>
          <w:sz w:val="20"/>
          <w:szCs w:val="20"/>
        </w:rPr>
        <w:t>Rates for Child Abuse/Neglect indicators are per year per 1000 population.</w:t>
      </w:r>
      <w:r w:rsidRPr="00B8712F">
        <w:rPr>
          <w:rFonts w:ascii="Calibri" w:eastAsia="Times New Roman" w:hAnsi="Calibri" w:cs="Times New Roman"/>
          <w:color w:val="000000"/>
          <w:sz w:val="20"/>
          <w:szCs w:val="20"/>
        </w:rPr>
        <w:tab/>
      </w:r>
    </w:p>
    <w:p w:rsidR="00B8712F" w:rsidRPr="00B8712F" w:rsidRDefault="00B8712F" w:rsidP="00B8712F">
      <w:pPr>
        <w:spacing w:after="0" w:line="240" w:lineRule="auto"/>
        <w:ind w:left="108"/>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Pr="00B8712F">
        <w:rPr>
          <w:rFonts w:ascii="Calibri" w:eastAsia="Times New Roman" w:hAnsi="Calibri" w:cs="Times New Roman"/>
          <w:color w:val="000000"/>
          <w:sz w:val="20"/>
          <w:szCs w:val="20"/>
        </w:rPr>
        <w:t>Source:  Community Data Profiles - Missouri Department of Health and Senior Services</w:t>
      </w:r>
      <w:r w:rsidRPr="00B8712F">
        <w:rPr>
          <w:rFonts w:ascii="Calibri" w:eastAsia="Times New Roman" w:hAnsi="Calibri" w:cs="Times New Roman"/>
          <w:color w:val="000000"/>
        </w:rPr>
        <w:t xml:space="preserve"> </w:t>
      </w:r>
    </w:p>
    <w:p w:rsidR="00B8712F" w:rsidRDefault="00B8712F"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712F" w:rsidRDefault="00B8712F" w:rsidP="00020485">
      <w:pPr>
        <w:pStyle w:val="NoSpacing"/>
      </w:pPr>
    </w:p>
    <w:p w:rsidR="00C4385B" w:rsidRDefault="00C4385B" w:rsidP="00C4385B">
      <w:pPr>
        <w:pStyle w:val="NoSpacing"/>
        <w:pBdr>
          <w:top w:val="single" w:sz="4" w:space="1" w:color="auto"/>
          <w:bottom w:val="single" w:sz="4" w:space="1" w:color="auto"/>
        </w:pBdr>
        <w:jc w:val="center"/>
        <w:rPr>
          <w:b/>
        </w:rPr>
      </w:pPr>
      <w:r>
        <w:rPr>
          <w:b/>
        </w:rPr>
        <w:t>Unintended Injury</w:t>
      </w:r>
    </w:p>
    <w:p w:rsidR="00C4385B" w:rsidRDefault="00C4385B" w:rsidP="00C4385B">
      <w:pPr>
        <w:pStyle w:val="NoSpacing"/>
        <w:jc w:val="center"/>
        <w:rPr>
          <w:b/>
        </w:rPr>
      </w:pPr>
    </w:p>
    <w:p w:rsidR="00C4385B" w:rsidRDefault="00C4385B" w:rsidP="00C4385B">
      <w:pPr>
        <w:pStyle w:val="NoSpacing"/>
        <w:rPr>
          <w:b/>
        </w:rPr>
      </w:pPr>
      <w:r>
        <w:rPr>
          <w:b/>
        </w:rPr>
        <w:t>Indicators Related to Injury:</w:t>
      </w:r>
    </w:p>
    <w:p w:rsidR="00C4385B" w:rsidRDefault="00012AB1" w:rsidP="00C4385B">
      <w:pPr>
        <w:pStyle w:val="NoSpacing"/>
      </w:pPr>
      <w:r>
        <w:t xml:space="preserve">In 2008, there were a total of 2,700 reported injuries in Pulaski County.  This is an increase from 2,572 in 2007 and 2,343 in 2006.  The reported injuries in 2008 include the following categories: </w:t>
      </w:r>
    </w:p>
    <w:p w:rsidR="006754EC" w:rsidRDefault="006754EC" w:rsidP="00C4385B">
      <w:pPr>
        <w:pStyle w:val="NoSpacing"/>
      </w:pPr>
    </w:p>
    <w:p w:rsidR="00012AB1" w:rsidRDefault="00012AB1" w:rsidP="006754EC">
      <w:pPr>
        <w:pStyle w:val="NoSpacing"/>
        <w:numPr>
          <w:ilvl w:val="0"/>
          <w:numId w:val="2"/>
        </w:numPr>
      </w:pPr>
      <w:r>
        <w:t>Abuse/Neglect/Rape Injuries (9)</w:t>
      </w:r>
    </w:p>
    <w:p w:rsidR="00012AB1" w:rsidRDefault="00012AB1" w:rsidP="006754EC">
      <w:pPr>
        <w:pStyle w:val="NoSpacing"/>
        <w:numPr>
          <w:ilvl w:val="0"/>
          <w:numId w:val="2"/>
        </w:numPr>
      </w:pPr>
      <w:r>
        <w:t>Cut/Peirce Injuries (200)</w:t>
      </w:r>
    </w:p>
    <w:p w:rsidR="00012AB1" w:rsidRDefault="00012AB1" w:rsidP="006754EC">
      <w:pPr>
        <w:pStyle w:val="NoSpacing"/>
        <w:numPr>
          <w:ilvl w:val="0"/>
          <w:numId w:val="2"/>
        </w:numPr>
      </w:pPr>
      <w:r>
        <w:t>Fall/Jump Injuries (824)</w:t>
      </w:r>
    </w:p>
    <w:p w:rsidR="00012AB1" w:rsidRDefault="00012AB1" w:rsidP="006754EC">
      <w:pPr>
        <w:pStyle w:val="NoSpacing"/>
        <w:numPr>
          <w:ilvl w:val="0"/>
          <w:numId w:val="2"/>
        </w:numPr>
      </w:pPr>
      <w:r>
        <w:t>Fire/Burn Injuries (36)</w:t>
      </w:r>
    </w:p>
    <w:p w:rsidR="00012AB1" w:rsidRDefault="00012AB1" w:rsidP="006754EC">
      <w:pPr>
        <w:pStyle w:val="NoSpacing"/>
        <w:numPr>
          <w:ilvl w:val="0"/>
          <w:numId w:val="2"/>
        </w:numPr>
      </w:pPr>
      <w:r>
        <w:t>Firearm Injuries (11)</w:t>
      </w:r>
    </w:p>
    <w:p w:rsidR="00012AB1" w:rsidRDefault="00012AB1" w:rsidP="006754EC">
      <w:pPr>
        <w:pStyle w:val="NoSpacing"/>
        <w:numPr>
          <w:ilvl w:val="0"/>
          <w:numId w:val="2"/>
        </w:numPr>
      </w:pPr>
      <w:r>
        <w:t>Machinery Injuries (13)</w:t>
      </w:r>
    </w:p>
    <w:p w:rsidR="00012AB1" w:rsidRDefault="00012AB1" w:rsidP="006754EC">
      <w:pPr>
        <w:pStyle w:val="NoSpacing"/>
        <w:numPr>
          <w:ilvl w:val="0"/>
          <w:numId w:val="2"/>
        </w:numPr>
      </w:pPr>
      <w:r>
        <w:t>Motor Vehicle Traffic Injuries (268)</w:t>
      </w:r>
    </w:p>
    <w:p w:rsidR="00012AB1" w:rsidRDefault="00012AB1" w:rsidP="006754EC">
      <w:pPr>
        <w:pStyle w:val="NoSpacing"/>
        <w:numPr>
          <w:ilvl w:val="0"/>
          <w:numId w:val="2"/>
        </w:numPr>
      </w:pPr>
      <w:r>
        <w:t>Motor Vehicle Non-Traffic Injuries (75)</w:t>
      </w:r>
    </w:p>
    <w:p w:rsidR="00012AB1" w:rsidRDefault="00012AB1" w:rsidP="006754EC">
      <w:pPr>
        <w:pStyle w:val="NoSpacing"/>
        <w:numPr>
          <w:ilvl w:val="0"/>
          <w:numId w:val="2"/>
        </w:numPr>
      </w:pPr>
      <w:r>
        <w:t>Other Transport Injuries (7)</w:t>
      </w:r>
    </w:p>
    <w:p w:rsidR="00012AB1" w:rsidRDefault="00012AB1" w:rsidP="006754EC">
      <w:pPr>
        <w:pStyle w:val="NoSpacing"/>
        <w:numPr>
          <w:ilvl w:val="0"/>
          <w:numId w:val="2"/>
        </w:numPr>
      </w:pPr>
      <w:r>
        <w:t>Weather/Wildlife related Injuries (</w:t>
      </w:r>
      <w:r w:rsidR="006754EC">
        <w:t>139)</w:t>
      </w:r>
    </w:p>
    <w:p w:rsidR="00012AB1" w:rsidRDefault="00012AB1" w:rsidP="006754EC">
      <w:pPr>
        <w:pStyle w:val="NoSpacing"/>
        <w:numPr>
          <w:ilvl w:val="0"/>
          <w:numId w:val="2"/>
        </w:numPr>
      </w:pPr>
      <w:r>
        <w:t>Over-Exertion Injuries</w:t>
      </w:r>
      <w:r w:rsidR="006754EC">
        <w:t xml:space="preserve"> (298)</w:t>
      </w:r>
    </w:p>
    <w:p w:rsidR="00012AB1" w:rsidRDefault="00012AB1" w:rsidP="006754EC">
      <w:pPr>
        <w:pStyle w:val="NoSpacing"/>
        <w:numPr>
          <w:ilvl w:val="0"/>
          <w:numId w:val="2"/>
        </w:numPr>
      </w:pPr>
      <w:r>
        <w:t>Poison/Overdose Injuries</w:t>
      </w:r>
      <w:r w:rsidR="006754EC">
        <w:t xml:space="preserve"> (88)</w:t>
      </w:r>
    </w:p>
    <w:p w:rsidR="00012AB1" w:rsidRDefault="00012AB1" w:rsidP="006754EC">
      <w:pPr>
        <w:pStyle w:val="NoSpacing"/>
        <w:numPr>
          <w:ilvl w:val="0"/>
          <w:numId w:val="2"/>
        </w:numPr>
      </w:pPr>
      <w:r>
        <w:t>Struck By/Against (362)</w:t>
      </w:r>
    </w:p>
    <w:p w:rsidR="006754EC" w:rsidRDefault="006754EC" w:rsidP="006754EC">
      <w:pPr>
        <w:pStyle w:val="NoSpacing"/>
        <w:numPr>
          <w:ilvl w:val="0"/>
          <w:numId w:val="2"/>
        </w:numPr>
      </w:pPr>
      <w:r>
        <w:t>Suffocate/Hang Injuries (4)</w:t>
      </w:r>
    </w:p>
    <w:p w:rsidR="006754EC" w:rsidRDefault="006754EC" w:rsidP="006754EC">
      <w:pPr>
        <w:pStyle w:val="NoSpacing"/>
        <w:numPr>
          <w:ilvl w:val="0"/>
          <w:numId w:val="2"/>
        </w:numPr>
      </w:pPr>
      <w:r>
        <w:t>Other Injuries (356)</w:t>
      </w:r>
    </w:p>
    <w:p w:rsidR="00012AB1" w:rsidRDefault="006754EC" w:rsidP="006754EC">
      <w:pPr>
        <w:pStyle w:val="NoSpacing"/>
        <w:numPr>
          <w:ilvl w:val="0"/>
          <w:numId w:val="2"/>
        </w:numPr>
      </w:pPr>
      <w:r>
        <w:t>Unknown cause of Injury(s) (10)</w:t>
      </w:r>
    </w:p>
    <w:p w:rsidR="006754EC" w:rsidRDefault="006754EC" w:rsidP="00C4385B">
      <w:pPr>
        <w:pStyle w:val="NoSpacing"/>
      </w:pPr>
    </w:p>
    <w:p w:rsidR="00D37AFF" w:rsidRDefault="00D37AFF" w:rsidP="00D37AFF">
      <w:pPr>
        <w:pStyle w:val="NoSpacing"/>
        <w:rPr>
          <w:b/>
        </w:rPr>
      </w:pPr>
      <w:r>
        <w:rPr>
          <w:b/>
        </w:rPr>
        <w:t>Indicators Related to Traffic Safety:</w:t>
      </w:r>
    </w:p>
    <w:p w:rsidR="00D37AFF" w:rsidRPr="00D37AFF" w:rsidRDefault="00D37AFF" w:rsidP="00D37AFF">
      <w:pPr>
        <w:pStyle w:val="NoSpacing"/>
        <w:rPr>
          <w:szCs w:val="21"/>
        </w:rPr>
      </w:pPr>
      <w:r>
        <w:rPr>
          <w:szCs w:val="21"/>
        </w:rPr>
        <w:t xml:space="preserve">About half of Missouri’s unintentional deaths to children age 1-14 are caused by motor vehicle crashes.  This holds true in Pulaski County.  For the time period of 1997-2007, the Pulaski County’s rate was 4.1 per 100,000 population, which is not significantly different than the statewide rate of 4.9 per 100,000 population.  The </w:t>
      </w:r>
      <w:r w:rsidR="00703C42">
        <w:rPr>
          <w:szCs w:val="21"/>
        </w:rPr>
        <w:t>rate motor vehicle deaths in children 15-19 in Pulaski County was 34.0 compared with the state rate of 38.9.  The Pulaski County rates are unstable due to less than 20 events and thus a statically significant difference can not be determined.  The overall motor vehicle death rate for all ages combined was 22.8 in Pulaski County compared to a statewide rate of 19.21.  The rate, though slightly higher than the state, has no statistical difference.</w:t>
      </w:r>
    </w:p>
    <w:p w:rsidR="006754EC" w:rsidRPr="00B825FC" w:rsidRDefault="00B825FC" w:rsidP="00B825FC">
      <w:pPr>
        <w:spacing w:before="100" w:beforeAutospacing="1" w:after="100" w:afterAutospacing="1" w:line="240" w:lineRule="auto"/>
        <w:outlineLvl w:val="2"/>
        <w:rPr>
          <w:rFonts w:eastAsia="Times New Roman" w:cs="Times New Roman"/>
          <w:b/>
          <w:bCs/>
          <w:color w:val="003366"/>
          <w:sz w:val="20"/>
          <w:szCs w:val="20"/>
        </w:rPr>
      </w:pPr>
      <w:r>
        <w:rPr>
          <w:rFonts w:eastAsia="Times New Roman" w:cs="Times New Roman"/>
          <w:b/>
          <w:bCs/>
          <w:noProof/>
          <w:color w:val="003366"/>
          <w:sz w:val="20"/>
          <w:szCs w:val="20"/>
        </w:rPr>
        <w:drawing>
          <wp:anchor distT="0" distB="0" distL="114300" distR="114300" simplePos="0" relativeHeight="251661312" behindDoc="0" locked="0" layoutInCell="1" allowOverlap="1">
            <wp:simplePos x="0" y="0"/>
            <wp:positionH relativeFrom="column">
              <wp:posOffset>2314575</wp:posOffset>
            </wp:positionH>
            <wp:positionV relativeFrom="paragraph">
              <wp:posOffset>120015</wp:posOffset>
            </wp:positionV>
            <wp:extent cx="3524250" cy="3060533"/>
            <wp:effectExtent l="19050" t="0" r="0" b="0"/>
            <wp:wrapNone/>
            <wp:docPr id="14" name="Picture 3" descr="C:\Documents and Settings\Owner\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wner\My Documents\My Pictures\untitled.bmp"/>
                    <pic:cNvPicPr>
                      <a:picLocks noChangeAspect="1" noChangeArrowheads="1"/>
                    </pic:cNvPicPr>
                  </pic:nvPicPr>
                  <pic:blipFill>
                    <a:blip r:embed="rId15" cstate="print"/>
                    <a:srcRect/>
                    <a:stretch>
                      <a:fillRect/>
                    </a:stretch>
                  </pic:blipFill>
                  <pic:spPr bwMode="auto">
                    <a:xfrm>
                      <a:off x="0" y="0"/>
                      <a:ext cx="3524250" cy="3060533"/>
                    </a:xfrm>
                    <a:prstGeom prst="rect">
                      <a:avLst/>
                    </a:prstGeom>
                    <a:noFill/>
                    <a:ln w="9525">
                      <a:noFill/>
                      <a:miter lim="800000"/>
                      <a:headEnd/>
                      <a:tailEnd/>
                    </a:ln>
                  </pic:spPr>
                </pic:pic>
              </a:graphicData>
            </a:graphic>
          </wp:anchor>
        </w:drawing>
      </w:r>
      <w:r w:rsidR="006754EC" w:rsidRPr="00B825FC">
        <w:rPr>
          <w:rFonts w:eastAsia="Times New Roman" w:cs="Times New Roman"/>
          <w:b/>
          <w:bCs/>
          <w:color w:val="003366"/>
          <w:sz w:val="20"/>
          <w:szCs w:val="20"/>
        </w:rPr>
        <w:t>Missouri 1998-2008</w:t>
      </w:r>
      <w:r w:rsidR="006754EC" w:rsidRPr="00B825FC">
        <w:rPr>
          <w:rFonts w:eastAsia="Times New Roman" w:cs="Times New Roman"/>
          <w:b/>
          <w:bCs/>
          <w:color w:val="003366"/>
          <w:sz w:val="20"/>
          <w:szCs w:val="20"/>
        </w:rPr>
        <w:br/>
        <w:t xml:space="preserve">Leading Cause of Death Profile </w:t>
      </w:r>
      <w:r w:rsidR="006754EC" w:rsidRPr="00B825FC">
        <w:rPr>
          <w:rFonts w:eastAsia="Times New Roman" w:cs="Times New Roman"/>
          <w:b/>
          <w:bCs/>
          <w:color w:val="003366"/>
          <w:sz w:val="20"/>
          <w:szCs w:val="20"/>
        </w:rPr>
        <w:br/>
        <w:t>Mortality Rates: Motor Vehicle Accidents</w:t>
      </w:r>
    </w:p>
    <w:p w:rsidR="00B825FC" w:rsidRDefault="00703C42" w:rsidP="00703C42">
      <w:pPr>
        <w:pStyle w:val="NoSpacing"/>
        <w:rPr>
          <w:sz w:val="20"/>
          <w:szCs w:val="20"/>
        </w:rPr>
      </w:pPr>
      <w:r>
        <w:rPr>
          <w:sz w:val="20"/>
          <w:szCs w:val="20"/>
        </w:rPr>
        <w:t>Table 4.1-</w:t>
      </w:r>
      <w:r w:rsidR="006754EC" w:rsidRPr="00703C42">
        <w:rPr>
          <w:sz w:val="20"/>
          <w:szCs w:val="20"/>
        </w:rPr>
        <w:t xml:space="preserve">Rates are per year per 100,000 </w:t>
      </w:r>
    </w:p>
    <w:p w:rsidR="00B825FC" w:rsidRDefault="006754EC" w:rsidP="00703C42">
      <w:pPr>
        <w:pStyle w:val="NoSpacing"/>
        <w:rPr>
          <w:sz w:val="20"/>
          <w:szCs w:val="20"/>
        </w:rPr>
      </w:pPr>
      <w:r w:rsidRPr="00703C42">
        <w:rPr>
          <w:sz w:val="20"/>
          <w:szCs w:val="20"/>
        </w:rPr>
        <w:t xml:space="preserve">population and are age-adjusted to the U.S. </w:t>
      </w:r>
    </w:p>
    <w:p w:rsidR="006754EC" w:rsidRDefault="006754EC" w:rsidP="00703C42">
      <w:pPr>
        <w:pStyle w:val="NoSpacing"/>
        <w:rPr>
          <w:sz w:val="20"/>
          <w:szCs w:val="20"/>
        </w:rPr>
      </w:pPr>
      <w:r w:rsidRPr="00703C42">
        <w:rPr>
          <w:sz w:val="20"/>
          <w:szCs w:val="20"/>
        </w:rPr>
        <w:t>2000 standard population.</w:t>
      </w:r>
    </w:p>
    <w:p w:rsidR="00B825FC" w:rsidRDefault="00703C42" w:rsidP="00703C42">
      <w:pPr>
        <w:pStyle w:val="NoSpacing"/>
        <w:rPr>
          <w:sz w:val="20"/>
          <w:szCs w:val="20"/>
        </w:rPr>
      </w:pPr>
      <w:r>
        <w:rPr>
          <w:sz w:val="20"/>
          <w:szCs w:val="20"/>
        </w:rPr>
        <w:t>Source: MO DHSS, Community Data Profiles,</w:t>
      </w:r>
    </w:p>
    <w:p w:rsidR="00703C42" w:rsidRDefault="00703C42" w:rsidP="00703C42">
      <w:pPr>
        <w:pStyle w:val="NoSpacing"/>
        <w:rPr>
          <w:sz w:val="20"/>
          <w:szCs w:val="20"/>
        </w:rPr>
      </w:pPr>
      <w:r>
        <w:rPr>
          <w:sz w:val="20"/>
          <w:szCs w:val="20"/>
        </w:rPr>
        <w:t xml:space="preserve"> Death, Leading Cause Profile</w:t>
      </w:r>
    </w:p>
    <w:p w:rsidR="00703C42" w:rsidRDefault="00703C42" w:rsidP="00703C42">
      <w:pPr>
        <w:pStyle w:val="NoSpacing"/>
        <w:rPr>
          <w:sz w:val="20"/>
          <w:szCs w:val="20"/>
        </w:rPr>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25FC" w:rsidRDefault="00B825FC" w:rsidP="00020485">
      <w:pPr>
        <w:pStyle w:val="NoSpacing"/>
      </w:pPr>
    </w:p>
    <w:p w:rsidR="00B8712F" w:rsidRDefault="00703C42" w:rsidP="00020485">
      <w:pPr>
        <w:pStyle w:val="NoSpacing"/>
      </w:pPr>
      <w:r>
        <w:t>Although child seats can greatly reduce fatal injury to children, they are often misused or n</w:t>
      </w:r>
      <w:r w:rsidR="00381B6B">
        <w:t>ot used at all</w:t>
      </w:r>
      <w:r w:rsidR="00174BAE">
        <w:t xml:space="preserve">. </w:t>
      </w:r>
      <w:r w:rsidR="00B21AB7">
        <w:t xml:space="preserve">In focusing on decreasing the prevalence of motor vehicle crash related injury and death, the first step to prevention is increasing awareness and knowledge.  The use of restraint devices and improving environmental dangers are another step in decreasing these injuries.  Environmental changes include: eliminating drinking and driving, improving driver skills and behaviors, and increasing social support interventions.  </w:t>
      </w:r>
    </w:p>
    <w:p w:rsidR="00B8712F" w:rsidRDefault="00B8712F" w:rsidP="00020485">
      <w:pPr>
        <w:pStyle w:val="NoSpacing"/>
      </w:pPr>
    </w:p>
    <w:p w:rsidR="00B8712F" w:rsidRDefault="004953B6" w:rsidP="004953B6">
      <w:pPr>
        <w:pStyle w:val="NoSpacing"/>
        <w:pBdr>
          <w:top w:val="single" w:sz="4" w:space="1" w:color="auto"/>
          <w:bottom w:val="single" w:sz="4" w:space="1" w:color="auto"/>
        </w:pBdr>
        <w:jc w:val="center"/>
        <w:rPr>
          <w:b/>
        </w:rPr>
      </w:pPr>
      <w:r>
        <w:rPr>
          <w:b/>
        </w:rPr>
        <w:t>Maternal &amp; Child Health</w:t>
      </w:r>
    </w:p>
    <w:p w:rsidR="004953B6" w:rsidRDefault="004953B6" w:rsidP="004953B6">
      <w:pPr>
        <w:pStyle w:val="NoSpacing"/>
        <w:jc w:val="center"/>
        <w:rPr>
          <w:b/>
        </w:rPr>
      </w:pPr>
    </w:p>
    <w:p w:rsidR="008C4354" w:rsidRDefault="008C4354" w:rsidP="008C4354">
      <w:pPr>
        <w:pStyle w:val="NoSpacing"/>
        <w:rPr>
          <w:b/>
        </w:rPr>
      </w:pPr>
      <w:r>
        <w:rPr>
          <w:b/>
        </w:rPr>
        <w:t>Indicators related to Children’s Health:</w:t>
      </w:r>
    </w:p>
    <w:p w:rsidR="008C4354" w:rsidRDefault="008C4354" w:rsidP="00020485">
      <w:pPr>
        <w:pStyle w:val="NoSpacing"/>
      </w:pPr>
    </w:p>
    <w:p w:rsidR="00B8712F" w:rsidRDefault="00D60DAA" w:rsidP="00020485">
      <w:pPr>
        <w:pStyle w:val="NoSpacing"/>
      </w:pPr>
      <w:r>
        <w:t>The i</w:t>
      </w:r>
      <w:r w:rsidR="004953B6">
        <w:t xml:space="preserve">ndicators of child well being include educational level of parents, prenatal care, abuse, death and hospitalization rates and family economic status.  In Pulaski County, </w:t>
      </w:r>
      <w:r>
        <w:t>there are 15,327 children under the age of 19.  Population estimates for 2008 is depicted in Table 5.1.</w:t>
      </w:r>
    </w:p>
    <w:p w:rsidR="00D60DAA" w:rsidRDefault="00D60DAA" w:rsidP="00020485">
      <w:pPr>
        <w:pStyle w:val="NoSpacing"/>
      </w:pPr>
    </w:p>
    <w:p w:rsidR="00D60DAA" w:rsidRDefault="00D60DAA" w:rsidP="00D60DAA">
      <w:pPr>
        <w:pStyle w:val="NoSpacing"/>
        <w:jc w:val="center"/>
      </w:pPr>
      <w:r w:rsidRPr="00D60DAA">
        <w:rPr>
          <w:noProof/>
        </w:rPr>
        <w:drawing>
          <wp:inline distT="0" distB="0" distL="0" distR="0">
            <wp:extent cx="4572000" cy="2743200"/>
            <wp:effectExtent l="95250" t="95250" r="114300" b="7620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4D3B" w:rsidRDefault="00D60DAA" w:rsidP="00020485">
      <w:pPr>
        <w:pStyle w:val="NoSpacing"/>
        <w:rPr>
          <w:sz w:val="20"/>
          <w:szCs w:val="20"/>
        </w:rPr>
      </w:pPr>
      <w:r>
        <w:t xml:space="preserve">                    </w:t>
      </w:r>
      <w:r w:rsidR="009059CF">
        <w:rPr>
          <w:sz w:val="20"/>
          <w:szCs w:val="20"/>
        </w:rPr>
        <w:t>Table 5.1- Source: MO DHSS, Population MICA</w:t>
      </w:r>
    </w:p>
    <w:p w:rsidR="009059CF" w:rsidRDefault="009059CF" w:rsidP="009059CF">
      <w:pPr>
        <w:pStyle w:val="NoSpacing"/>
      </w:pPr>
    </w:p>
    <w:p w:rsidR="007B1602" w:rsidRDefault="007B1602" w:rsidP="009059CF">
      <w:pPr>
        <w:pStyle w:val="NoSpacing"/>
      </w:pPr>
      <w:r>
        <w:t xml:space="preserve">The </w:t>
      </w:r>
      <w:r w:rsidR="00C361BB">
        <w:t>2010</w:t>
      </w:r>
      <w:r>
        <w:t xml:space="preserve"> Kids Count Report </w:t>
      </w:r>
      <w:r w:rsidR="00C361BB">
        <w:t xml:space="preserve">showed that </w:t>
      </w:r>
      <w:r w:rsidR="00332BF1">
        <w:t xml:space="preserve">children make up </w:t>
      </w:r>
      <w:r w:rsidR="00C361BB">
        <w:t xml:space="preserve">15 percent </w:t>
      </w:r>
      <w:r w:rsidR="00332BF1">
        <w:t xml:space="preserve">of the population </w:t>
      </w:r>
      <w:r w:rsidR="00C361BB">
        <w:t xml:space="preserve">in Pulaski County in 2007. Of these children, 2.7 percent were receiving cash assistance and 24.1 percent were receiving food stamps.  In 2008, 40.2 percent of Pulaski County children were in enrolled in the Free/Reduced Lunches Program and 23.9 percent were enrolled in MO HealthNet for Kids.  The report also shows that the rate of low birth weight infants and infant mortality have shown little change since 2004.  </w:t>
      </w:r>
      <w:r w:rsidR="003E147B">
        <w:t>Births to teenage moms had decreased from about 41percent in 2004 to 34 percent in 2008.</w:t>
      </w:r>
      <w:r w:rsidR="008C4354">
        <w:t xml:space="preserve"> Pulaski County had a Kids County overall ranking of 26 out of 115 (2008).</w:t>
      </w:r>
    </w:p>
    <w:p w:rsidR="003E147B" w:rsidRDefault="003E147B" w:rsidP="009059CF">
      <w:pPr>
        <w:pStyle w:val="NoSpacing"/>
      </w:pPr>
    </w:p>
    <w:p w:rsidR="003E147B" w:rsidRDefault="003E147B" w:rsidP="009059CF">
      <w:pPr>
        <w:pStyle w:val="NoSpacing"/>
      </w:pPr>
      <w:r>
        <w:t xml:space="preserve">The Health Department offers health prevention services and education programs through the Missouri Department of Health and Senior Services Maternal Child Health Services Contract.  The contract </w:t>
      </w:r>
      <w:r w:rsidR="006D6B41">
        <w:t>beginning October</w:t>
      </w:r>
      <w:r>
        <w:t xml:space="preserve"> 2010 focuses on </w:t>
      </w:r>
      <w:r w:rsidR="006D6B41">
        <w:t>improving</w:t>
      </w:r>
      <w:r>
        <w:t xml:space="preserve"> the rates of intentional and unintentional injuries</w:t>
      </w:r>
      <w:r w:rsidR="006D6B41">
        <w:t xml:space="preserve"> associated with car seat safety, bicycle safety, bullying and safe environments through evidence based prevention programs.</w:t>
      </w:r>
    </w:p>
    <w:p w:rsidR="008C4354" w:rsidRDefault="008C4354" w:rsidP="009059CF">
      <w:pPr>
        <w:pStyle w:val="NoSpacing"/>
      </w:pPr>
    </w:p>
    <w:p w:rsidR="008C4354" w:rsidRDefault="008C4354" w:rsidP="009059CF">
      <w:pPr>
        <w:pStyle w:val="NoSpacing"/>
      </w:pPr>
      <w:r>
        <w:t xml:space="preserve">Overall, the rates of maternal child health issues are comparable to the state rate.  The chart below shows the poverty rate of children in Pulaski County, as well as the child abuse rate and children enrolled in MO HealthNet for Kids/Medicaid.  </w:t>
      </w:r>
    </w:p>
    <w:p w:rsidR="007B1602" w:rsidRDefault="007B1602" w:rsidP="009059CF">
      <w:pPr>
        <w:pStyle w:val="NoSpacing"/>
      </w:pPr>
    </w:p>
    <w:tbl>
      <w:tblPr>
        <w:tblStyle w:val="MediumGrid3-Accent1"/>
        <w:tblpPr w:leftFromText="180" w:rightFromText="180" w:vertAnchor="text" w:tblpY="-23"/>
        <w:tblW w:w="9375" w:type="dxa"/>
        <w:tblLook w:val="04A0" w:firstRow="1" w:lastRow="0" w:firstColumn="1" w:lastColumn="0" w:noHBand="0" w:noVBand="1"/>
      </w:tblPr>
      <w:tblGrid>
        <w:gridCol w:w="5872"/>
        <w:gridCol w:w="1469"/>
        <w:gridCol w:w="1356"/>
        <w:gridCol w:w="678"/>
      </w:tblGrid>
      <w:tr w:rsidR="003A5A5C" w:rsidTr="003A5A5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75" w:type="dxa"/>
            <w:gridSpan w:val="4"/>
            <w:hideMark/>
          </w:tcPr>
          <w:p w:rsidR="003A5A5C" w:rsidRDefault="003A5A5C" w:rsidP="003A5A5C">
            <w:pPr>
              <w:rPr>
                <w:sz w:val="24"/>
                <w:szCs w:val="24"/>
              </w:rPr>
            </w:pPr>
            <w:r>
              <w:rPr>
                <w:b w:val="0"/>
                <w:bCs w:val="0"/>
              </w:rPr>
              <w:t>Children and Families                                                                                                        Pulaski                     MO</w:t>
            </w:r>
          </w:p>
        </w:tc>
      </w:tr>
      <w:tr w:rsidR="003A5A5C" w:rsidTr="003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3A5A5C" w:rsidRDefault="003A5A5C" w:rsidP="003A5A5C">
            <w:pPr>
              <w:rPr>
                <w:sz w:val="24"/>
                <w:szCs w:val="24"/>
              </w:rPr>
            </w:pPr>
            <w:r>
              <w:rPr>
                <w:b w:val="0"/>
                <w:bCs w:val="0"/>
                <w:sz w:val="20"/>
                <w:szCs w:val="20"/>
              </w:rPr>
              <w:t>All Persons Below Poverty                                                                                                 Number           Percent             %</w:t>
            </w:r>
          </w:p>
        </w:tc>
      </w:tr>
      <w:tr w:rsidR="003A5A5C" w:rsidTr="003A5A5C">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   2000 </w:t>
            </w:r>
          </w:p>
        </w:tc>
        <w:tc>
          <w:tcPr>
            <w:tcW w:w="1237"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3,702 </w:t>
            </w:r>
          </w:p>
        </w:tc>
        <w:tc>
          <w:tcPr>
            <w:tcW w:w="1142"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10.3 </w:t>
            </w:r>
          </w:p>
        </w:tc>
        <w:tc>
          <w:tcPr>
            <w:tcW w:w="0" w:type="auto"/>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11.7 </w:t>
            </w:r>
          </w:p>
        </w:tc>
      </w:tr>
      <w:tr w:rsidR="003A5A5C" w:rsidTr="003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   2008 (SAIPE est) </w:t>
            </w:r>
          </w:p>
        </w:tc>
        <w:tc>
          <w:tcPr>
            <w:tcW w:w="1237"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5,137 </w:t>
            </w:r>
          </w:p>
        </w:tc>
        <w:tc>
          <w:tcPr>
            <w:tcW w:w="1142"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14.0 </w:t>
            </w:r>
          </w:p>
        </w:tc>
        <w:tc>
          <w:tcPr>
            <w:tcW w:w="0" w:type="auto"/>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13.5 </w:t>
            </w:r>
          </w:p>
        </w:tc>
      </w:tr>
      <w:tr w:rsidR="003A5A5C" w:rsidTr="003A5A5C">
        <w:tc>
          <w:tcPr>
            <w:cnfStyle w:val="001000000000" w:firstRow="0" w:lastRow="0" w:firstColumn="1" w:lastColumn="0" w:oddVBand="0" w:evenVBand="0" w:oddHBand="0" w:evenHBand="0" w:firstRowFirstColumn="0" w:firstRowLastColumn="0" w:lastRowFirstColumn="0" w:lastRowLastColumn="0"/>
            <w:tcW w:w="0" w:type="auto"/>
            <w:gridSpan w:val="4"/>
            <w:hideMark/>
          </w:tcPr>
          <w:p w:rsidR="003A5A5C" w:rsidRDefault="003A5A5C" w:rsidP="003A5A5C">
            <w:pPr>
              <w:rPr>
                <w:sz w:val="24"/>
                <w:szCs w:val="24"/>
              </w:rPr>
            </w:pPr>
            <w:r>
              <w:rPr>
                <w:b w:val="0"/>
                <w:bCs w:val="0"/>
                <w:sz w:val="20"/>
                <w:szCs w:val="20"/>
              </w:rPr>
              <w:t xml:space="preserve">Children (Ages 0 to 17) Below Poverty </w:t>
            </w:r>
          </w:p>
        </w:tc>
      </w:tr>
      <w:tr w:rsidR="003A5A5C" w:rsidTr="003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   2000 </w:t>
            </w:r>
          </w:p>
        </w:tc>
        <w:tc>
          <w:tcPr>
            <w:tcW w:w="1237"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1,363 </w:t>
            </w:r>
          </w:p>
        </w:tc>
        <w:tc>
          <w:tcPr>
            <w:tcW w:w="1142"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12.4 </w:t>
            </w:r>
          </w:p>
        </w:tc>
        <w:tc>
          <w:tcPr>
            <w:tcW w:w="0" w:type="auto"/>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15.3 </w:t>
            </w:r>
          </w:p>
        </w:tc>
      </w:tr>
      <w:tr w:rsidR="003A5A5C" w:rsidTr="003A5A5C">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   2008 (SAIPE est) </w:t>
            </w:r>
          </w:p>
        </w:tc>
        <w:tc>
          <w:tcPr>
            <w:tcW w:w="1237"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1,820 </w:t>
            </w:r>
          </w:p>
        </w:tc>
        <w:tc>
          <w:tcPr>
            <w:tcW w:w="1142"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16.1 </w:t>
            </w:r>
          </w:p>
        </w:tc>
        <w:tc>
          <w:tcPr>
            <w:tcW w:w="0" w:type="auto"/>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18.9 </w:t>
            </w:r>
          </w:p>
        </w:tc>
      </w:tr>
      <w:tr w:rsidR="003A5A5C" w:rsidTr="003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Students enrolled in free &amp; reduced lunch program, 2008 </w:t>
            </w:r>
          </w:p>
        </w:tc>
        <w:tc>
          <w:tcPr>
            <w:tcW w:w="1237"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3,314 </w:t>
            </w:r>
          </w:p>
        </w:tc>
        <w:tc>
          <w:tcPr>
            <w:tcW w:w="1142"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40.2 </w:t>
            </w:r>
          </w:p>
        </w:tc>
        <w:tc>
          <w:tcPr>
            <w:tcW w:w="0" w:type="auto"/>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42.0 </w:t>
            </w:r>
          </w:p>
        </w:tc>
      </w:tr>
      <w:tr w:rsidR="003A5A5C" w:rsidTr="003A5A5C">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Low birth weight infants (count/per 1000), 2004-2008 </w:t>
            </w:r>
          </w:p>
        </w:tc>
        <w:tc>
          <w:tcPr>
            <w:tcW w:w="1237"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264 </w:t>
            </w:r>
          </w:p>
        </w:tc>
        <w:tc>
          <w:tcPr>
            <w:tcW w:w="1142"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7.4 </w:t>
            </w:r>
          </w:p>
        </w:tc>
        <w:tc>
          <w:tcPr>
            <w:tcW w:w="0" w:type="auto"/>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8.1 </w:t>
            </w:r>
          </w:p>
        </w:tc>
      </w:tr>
      <w:tr w:rsidR="003A5A5C" w:rsidTr="003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Child abuse and neglect (count/per 1000), 2008 </w:t>
            </w:r>
          </w:p>
        </w:tc>
        <w:tc>
          <w:tcPr>
            <w:tcW w:w="1237"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419 </w:t>
            </w:r>
          </w:p>
        </w:tc>
        <w:tc>
          <w:tcPr>
            <w:tcW w:w="1142"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36.0 </w:t>
            </w:r>
          </w:p>
        </w:tc>
        <w:tc>
          <w:tcPr>
            <w:tcW w:w="0" w:type="auto"/>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32.1 </w:t>
            </w:r>
          </w:p>
        </w:tc>
      </w:tr>
      <w:tr w:rsidR="003A5A5C" w:rsidTr="003A5A5C">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Births to Teens Aged 15-19 (count/per 1000), 2008 </w:t>
            </w:r>
          </w:p>
        </w:tc>
        <w:tc>
          <w:tcPr>
            <w:tcW w:w="1237"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73 </w:t>
            </w:r>
          </w:p>
        </w:tc>
        <w:tc>
          <w:tcPr>
            <w:tcW w:w="1142"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33.9 </w:t>
            </w:r>
          </w:p>
        </w:tc>
        <w:tc>
          <w:tcPr>
            <w:tcW w:w="0" w:type="auto"/>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45.4 </w:t>
            </w:r>
          </w:p>
        </w:tc>
      </w:tr>
      <w:tr w:rsidR="003A5A5C" w:rsidTr="003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Food stamp recipients (kids), 2008 </w:t>
            </w:r>
          </w:p>
        </w:tc>
        <w:tc>
          <w:tcPr>
            <w:tcW w:w="1237"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2,803 </w:t>
            </w:r>
          </w:p>
        </w:tc>
        <w:tc>
          <w:tcPr>
            <w:tcW w:w="1142"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24.1 </w:t>
            </w:r>
          </w:p>
        </w:tc>
        <w:tc>
          <w:tcPr>
            <w:tcW w:w="0" w:type="auto"/>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32.7 </w:t>
            </w:r>
          </w:p>
        </w:tc>
      </w:tr>
      <w:tr w:rsidR="003A5A5C" w:rsidTr="003A5A5C">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Children enrolled in MC+/Medicaid, 2008 </w:t>
            </w:r>
          </w:p>
        </w:tc>
        <w:tc>
          <w:tcPr>
            <w:tcW w:w="1237"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2,780 </w:t>
            </w:r>
          </w:p>
        </w:tc>
        <w:tc>
          <w:tcPr>
            <w:tcW w:w="1142" w:type="dxa"/>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23.9 </w:t>
            </w:r>
          </w:p>
        </w:tc>
        <w:tc>
          <w:tcPr>
            <w:tcW w:w="0" w:type="auto"/>
            <w:hideMark/>
          </w:tcPr>
          <w:p w:rsidR="003A5A5C" w:rsidRDefault="003A5A5C" w:rsidP="003A5A5C">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 xml:space="preserve">33.5 </w:t>
            </w:r>
          </w:p>
        </w:tc>
      </w:tr>
      <w:tr w:rsidR="003A5A5C" w:rsidTr="003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5A5C" w:rsidRDefault="003A5A5C" w:rsidP="003A5A5C">
            <w:pPr>
              <w:rPr>
                <w:sz w:val="24"/>
                <w:szCs w:val="24"/>
              </w:rPr>
            </w:pPr>
            <w:r>
              <w:rPr>
                <w:sz w:val="20"/>
                <w:szCs w:val="20"/>
              </w:rPr>
              <w:t xml:space="preserve">Overall Kids Count composite rank (out of 115), 2008 </w:t>
            </w:r>
          </w:p>
        </w:tc>
        <w:tc>
          <w:tcPr>
            <w:tcW w:w="1237"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26 </w:t>
            </w:r>
          </w:p>
        </w:tc>
        <w:tc>
          <w:tcPr>
            <w:tcW w:w="1142" w:type="dxa"/>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  </w:t>
            </w:r>
          </w:p>
        </w:tc>
        <w:tc>
          <w:tcPr>
            <w:tcW w:w="0" w:type="auto"/>
            <w:hideMark/>
          </w:tcPr>
          <w:p w:rsidR="003A5A5C" w:rsidRDefault="003A5A5C" w:rsidP="003A5A5C">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0"/>
                <w:szCs w:val="20"/>
              </w:rPr>
              <w:t xml:space="preserve">. </w:t>
            </w:r>
          </w:p>
        </w:tc>
      </w:tr>
      <w:tr w:rsidR="003A5A5C" w:rsidTr="003A5A5C">
        <w:tc>
          <w:tcPr>
            <w:cnfStyle w:val="001000000000" w:firstRow="0" w:lastRow="0" w:firstColumn="1" w:lastColumn="0" w:oddVBand="0" w:evenVBand="0" w:oddHBand="0" w:evenHBand="0" w:firstRowFirstColumn="0" w:firstRowLastColumn="0" w:lastRowFirstColumn="0" w:lastRowLastColumn="0"/>
            <w:tcW w:w="0" w:type="auto"/>
            <w:gridSpan w:val="4"/>
            <w:hideMark/>
          </w:tcPr>
          <w:p w:rsidR="003A5A5C" w:rsidRDefault="003A5A5C" w:rsidP="003A5A5C">
            <w:pPr>
              <w:rPr>
                <w:sz w:val="24"/>
                <w:szCs w:val="24"/>
              </w:rPr>
            </w:pPr>
            <w:r>
              <w:t xml:space="preserve">    </w:t>
            </w:r>
            <w:r>
              <w:rPr>
                <w:i/>
                <w:iCs/>
                <w:sz w:val="20"/>
                <w:szCs w:val="20"/>
              </w:rPr>
              <w:t xml:space="preserve">Note: 3 items in this table have rates per 1000 in the Percent column. </w:t>
            </w:r>
          </w:p>
        </w:tc>
      </w:tr>
    </w:tbl>
    <w:p w:rsidR="008C4354" w:rsidRPr="008C4354" w:rsidRDefault="008C4354" w:rsidP="009059CF">
      <w:pPr>
        <w:pStyle w:val="NoSpacing"/>
        <w:rPr>
          <w:sz w:val="20"/>
          <w:szCs w:val="20"/>
        </w:rPr>
      </w:pPr>
      <w:r>
        <w:rPr>
          <w:sz w:val="20"/>
          <w:szCs w:val="20"/>
        </w:rPr>
        <w:t>Table</w:t>
      </w:r>
      <w:r w:rsidR="00174BAE">
        <w:rPr>
          <w:sz w:val="20"/>
          <w:szCs w:val="20"/>
        </w:rPr>
        <w:t xml:space="preserve"> 5.2-Source: UM Extension Social and Economic Profile, Pulaski County, MO</w:t>
      </w:r>
    </w:p>
    <w:p w:rsidR="008C4354" w:rsidRDefault="008C4354" w:rsidP="009059CF">
      <w:pPr>
        <w:pStyle w:val="NoSpacing"/>
        <w:rPr>
          <w:b/>
        </w:rPr>
      </w:pPr>
    </w:p>
    <w:p w:rsidR="006D6B41" w:rsidRDefault="006D6B41" w:rsidP="009059CF">
      <w:pPr>
        <w:pStyle w:val="NoSpacing"/>
        <w:rPr>
          <w:b/>
        </w:rPr>
      </w:pPr>
      <w:r>
        <w:rPr>
          <w:b/>
        </w:rPr>
        <w:t>Indicators Related to Prenatal Risk:</w:t>
      </w:r>
    </w:p>
    <w:p w:rsidR="006D6B41" w:rsidRDefault="0066746B" w:rsidP="0066746B">
      <w:pPr>
        <w:pStyle w:val="NoSpacing"/>
      </w:pPr>
      <w:r>
        <w:t>A number of factors contribute to birth outcome and child health.  Among those are lack of education, late care received during pregnancy, inadequate prenatal care, smoking during pregnancy and births to teens.</w:t>
      </w:r>
    </w:p>
    <w:p w:rsidR="0066746B" w:rsidRDefault="0066746B" w:rsidP="0066746B">
      <w:pPr>
        <w:pStyle w:val="NoSpacing"/>
      </w:pPr>
    </w:p>
    <w:p w:rsidR="0066746B" w:rsidRDefault="0066746B" w:rsidP="0066746B">
      <w:pPr>
        <w:pStyle w:val="NoSpacing"/>
      </w:pPr>
      <w:r>
        <w:t xml:space="preserve">Pulaski County rate for prenatal care beginning in the first trimester at 88.5 percent is slightly higher than the statewide average rate of 85.9 percent.  </w:t>
      </w:r>
      <w:r w:rsidR="00D57114">
        <w:t xml:space="preserve">Prenatal smoking rates are also slightly higher in Pulaski County than statewide.  </w:t>
      </w:r>
      <w:r>
        <w:t xml:space="preserve">County and State rates are </w:t>
      </w:r>
      <w:r w:rsidR="00D57114">
        <w:t>comparable</w:t>
      </w:r>
      <w:r>
        <w:t xml:space="preserve"> for inadequate prenatal care</w:t>
      </w:r>
      <w:r w:rsidR="00D57114">
        <w:t xml:space="preserve"> and low birth weight indicators</w:t>
      </w:r>
      <w:r>
        <w:t>.</w:t>
      </w:r>
      <w:r w:rsidR="00D57114">
        <w:t xml:space="preserve">  The rate of prenatals with less than 12 years of education in Pulaski County (12.5) is lower than the state (17.9).  See Table 5.</w:t>
      </w:r>
      <w:r w:rsidR="00174BAE">
        <w:t>3</w:t>
      </w:r>
      <w:r w:rsidR="00D57114">
        <w:t xml:space="preserve"> for </w:t>
      </w:r>
      <w:r w:rsidR="0024023D">
        <w:t>the prenatal profile for Pulaski County.</w:t>
      </w:r>
    </w:p>
    <w:tbl>
      <w:tblPr>
        <w:tblStyle w:val="MediumGrid3-Accent1"/>
        <w:tblpPr w:leftFromText="180" w:rightFromText="180" w:vertAnchor="text" w:horzAnchor="margin" w:tblpY="452"/>
        <w:tblW w:w="9722" w:type="dxa"/>
        <w:tblLook w:val="04A0" w:firstRow="1" w:lastRow="0" w:firstColumn="1" w:lastColumn="0" w:noHBand="0" w:noVBand="1"/>
      </w:tblPr>
      <w:tblGrid>
        <w:gridCol w:w="4127"/>
        <w:gridCol w:w="1311"/>
        <w:gridCol w:w="1574"/>
        <w:gridCol w:w="1311"/>
        <w:gridCol w:w="1399"/>
      </w:tblGrid>
      <w:tr w:rsidR="003A5A5C" w:rsidRPr="0024023D" w:rsidTr="003A5A5C">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Prenatal Profile for Pulaski Residents</w:t>
            </w:r>
          </w:p>
        </w:tc>
        <w:tc>
          <w:tcPr>
            <w:tcW w:w="1311" w:type="dxa"/>
            <w:noWrap/>
            <w:hideMark/>
          </w:tcPr>
          <w:p w:rsidR="003A5A5C" w:rsidRPr="0024023D" w:rsidRDefault="003A5A5C" w:rsidP="003A5A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574" w:type="dxa"/>
            <w:noWrap/>
            <w:hideMark/>
          </w:tcPr>
          <w:p w:rsidR="003A5A5C" w:rsidRPr="0024023D" w:rsidRDefault="003A5A5C" w:rsidP="003A5A5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11" w:type="dxa"/>
            <w:noWrap/>
            <w:hideMark/>
          </w:tcPr>
          <w:p w:rsidR="003A5A5C" w:rsidRPr="0024023D" w:rsidRDefault="003A5A5C" w:rsidP="003A5A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99" w:type="dxa"/>
            <w:noWrap/>
            <w:hideMark/>
          </w:tcPr>
          <w:p w:rsidR="003A5A5C" w:rsidRPr="0024023D" w:rsidRDefault="003A5A5C" w:rsidP="003A5A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3A5A5C" w:rsidRPr="0024023D" w:rsidTr="003A5A5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p>
        </w:tc>
        <w:tc>
          <w:tcPr>
            <w:tcW w:w="1311" w:type="dxa"/>
            <w:vMerge w:val="restart"/>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Data</w:t>
            </w:r>
          </w:p>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Years</w:t>
            </w:r>
          </w:p>
        </w:tc>
        <w:tc>
          <w:tcPr>
            <w:tcW w:w="1574" w:type="dxa"/>
            <w:vMerge w:val="restart"/>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Age-Adjusted</w:t>
            </w:r>
          </w:p>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Rate</w:t>
            </w:r>
          </w:p>
        </w:tc>
        <w:tc>
          <w:tcPr>
            <w:tcW w:w="1311" w:type="dxa"/>
            <w:vMerge w:val="restart"/>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Significantly</w:t>
            </w:r>
          </w:p>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Different</w:t>
            </w:r>
          </w:p>
        </w:tc>
        <w:tc>
          <w:tcPr>
            <w:tcW w:w="1399" w:type="dxa"/>
            <w:vMerge w:val="restart"/>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 xml:space="preserve">Age-Adjusted </w:t>
            </w:r>
          </w:p>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 xml:space="preserve">State Rate </w:t>
            </w:r>
          </w:p>
        </w:tc>
      </w:tr>
      <w:tr w:rsidR="003A5A5C" w:rsidRPr="0024023D" w:rsidTr="003A5A5C">
        <w:trPr>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p>
        </w:tc>
        <w:tc>
          <w:tcPr>
            <w:tcW w:w="1311" w:type="dxa"/>
            <w:vMerge/>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574" w:type="dxa"/>
            <w:vMerge/>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11" w:type="dxa"/>
            <w:vMerge/>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399" w:type="dxa"/>
            <w:vMerge/>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3A5A5C" w:rsidRPr="0024023D" w:rsidTr="003A5A5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Care Began First Trimester</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2008</w:t>
            </w:r>
          </w:p>
        </w:tc>
        <w:tc>
          <w:tcPr>
            <w:tcW w:w="1574"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88.5</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N/S</w:t>
            </w:r>
          </w:p>
        </w:tc>
        <w:tc>
          <w:tcPr>
            <w:tcW w:w="1399"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85.9</w:t>
            </w:r>
          </w:p>
        </w:tc>
      </w:tr>
      <w:tr w:rsidR="003A5A5C" w:rsidRPr="0024023D" w:rsidTr="003A5A5C">
        <w:trPr>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Late Care (2nd/3rd Trimester)</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2008</w:t>
            </w:r>
          </w:p>
        </w:tc>
        <w:tc>
          <w:tcPr>
            <w:tcW w:w="1574"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11.2</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N/S</w:t>
            </w:r>
          </w:p>
        </w:tc>
        <w:tc>
          <w:tcPr>
            <w:tcW w:w="1399"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13.4</w:t>
            </w:r>
          </w:p>
        </w:tc>
      </w:tr>
      <w:tr w:rsidR="003A5A5C" w:rsidRPr="0024023D" w:rsidTr="003A5A5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No Prenatal Care</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2008</w:t>
            </w:r>
          </w:p>
        </w:tc>
        <w:tc>
          <w:tcPr>
            <w:tcW w:w="1574"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0.3*</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N/S</w:t>
            </w:r>
          </w:p>
        </w:tc>
        <w:tc>
          <w:tcPr>
            <w:tcW w:w="1399"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0.7</w:t>
            </w:r>
          </w:p>
        </w:tc>
      </w:tr>
      <w:tr w:rsidR="003A5A5C" w:rsidRPr="0024023D" w:rsidTr="003A5A5C">
        <w:trPr>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Inadequate Prenatal Care</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2008</w:t>
            </w:r>
          </w:p>
        </w:tc>
        <w:tc>
          <w:tcPr>
            <w:tcW w:w="1574"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12</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N/S</w:t>
            </w:r>
          </w:p>
        </w:tc>
        <w:tc>
          <w:tcPr>
            <w:tcW w:w="1399"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11.9</w:t>
            </w:r>
          </w:p>
        </w:tc>
      </w:tr>
      <w:tr w:rsidR="003A5A5C" w:rsidRPr="0024023D" w:rsidTr="003A5A5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Prenatal Medicaid</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2008</w:t>
            </w:r>
          </w:p>
        </w:tc>
        <w:tc>
          <w:tcPr>
            <w:tcW w:w="1574"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30.4</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L</w:t>
            </w:r>
          </w:p>
        </w:tc>
        <w:tc>
          <w:tcPr>
            <w:tcW w:w="1399"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47.6</w:t>
            </w:r>
          </w:p>
        </w:tc>
      </w:tr>
      <w:tr w:rsidR="003A5A5C" w:rsidRPr="0024023D" w:rsidTr="003A5A5C">
        <w:trPr>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Prenatal WIC</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2008</w:t>
            </w:r>
          </w:p>
        </w:tc>
        <w:tc>
          <w:tcPr>
            <w:tcW w:w="1574"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51.2</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H</w:t>
            </w:r>
          </w:p>
        </w:tc>
        <w:tc>
          <w:tcPr>
            <w:tcW w:w="1399"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43.5</w:t>
            </w:r>
          </w:p>
        </w:tc>
      </w:tr>
      <w:tr w:rsidR="003A5A5C" w:rsidRPr="0024023D" w:rsidTr="003A5A5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Prenatal Food Stamps</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2008</w:t>
            </w:r>
          </w:p>
        </w:tc>
        <w:tc>
          <w:tcPr>
            <w:tcW w:w="1574"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17.5</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L</w:t>
            </w:r>
          </w:p>
        </w:tc>
        <w:tc>
          <w:tcPr>
            <w:tcW w:w="1399"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26.5</w:t>
            </w:r>
          </w:p>
        </w:tc>
      </w:tr>
      <w:tr w:rsidR="003A5A5C" w:rsidRPr="0024023D" w:rsidTr="003A5A5C">
        <w:trPr>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Weight Gain less than 15 Pounds - Term Singleton</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2004-2008</w:t>
            </w:r>
          </w:p>
        </w:tc>
        <w:tc>
          <w:tcPr>
            <w:tcW w:w="1574"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7.8</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N/S</w:t>
            </w:r>
          </w:p>
        </w:tc>
        <w:tc>
          <w:tcPr>
            <w:tcW w:w="1399"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8.9</w:t>
            </w:r>
          </w:p>
        </w:tc>
      </w:tr>
      <w:tr w:rsidR="003A5A5C" w:rsidRPr="0024023D" w:rsidTr="003A5A5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Weight Gain greater than or equal to 45 Pounds - Term Singleton</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2004-2008</w:t>
            </w:r>
          </w:p>
        </w:tc>
        <w:tc>
          <w:tcPr>
            <w:tcW w:w="1574"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21.2</w:t>
            </w:r>
          </w:p>
        </w:tc>
        <w:tc>
          <w:tcPr>
            <w:tcW w:w="1311" w:type="dxa"/>
            <w:noWrap/>
            <w:hideMark/>
          </w:tcPr>
          <w:p w:rsidR="003A5A5C" w:rsidRPr="0024023D" w:rsidRDefault="003A5A5C" w:rsidP="003A5A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H</w:t>
            </w:r>
          </w:p>
        </w:tc>
        <w:tc>
          <w:tcPr>
            <w:tcW w:w="1399" w:type="dxa"/>
            <w:noWrap/>
            <w:hideMark/>
          </w:tcPr>
          <w:p w:rsidR="003A5A5C" w:rsidRPr="0024023D" w:rsidRDefault="003A5A5C" w:rsidP="003A5A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19.3</w:t>
            </w:r>
          </w:p>
        </w:tc>
      </w:tr>
      <w:tr w:rsidR="003A5A5C" w:rsidRPr="0024023D" w:rsidTr="003A5A5C">
        <w:trPr>
          <w:trHeight w:val="293"/>
        </w:trPr>
        <w:tc>
          <w:tcPr>
            <w:cnfStyle w:val="001000000000" w:firstRow="0" w:lastRow="0" w:firstColumn="1" w:lastColumn="0" w:oddVBand="0" w:evenVBand="0" w:oddHBand="0" w:evenHBand="0" w:firstRowFirstColumn="0" w:firstRowLastColumn="0" w:lastRowFirstColumn="0" w:lastRowLastColumn="0"/>
            <w:tcW w:w="4127" w:type="dxa"/>
            <w:noWrap/>
            <w:hideMark/>
          </w:tcPr>
          <w:p w:rsidR="003A5A5C" w:rsidRPr="0024023D" w:rsidRDefault="003A5A5C" w:rsidP="003A5A5C">
            <w:pPr>
              <w:rPr>
                <w:rFonts w:ascii="Calibri" w:eastAsia="Times New Roman" w:hAnsi="Calibri" w:cs="Times New Roman"/>
                <w:color w:val="000000"/>
              </w:rPr>
            </w:pPr>
            <w:r w:rsidRPr="0024023D">
              <w:rPr>
                <w:rFonts w:ascii="Calibri" w:eastAsia="Times New Roman" w:hAnsi="Calibri" w:cs="Times New Roman"/>
                <w:color w:val="000000"/>
              </w:rPr>
              <w:t xml:space="preserve"> Mother Smoked During Pregnancy</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2008</w:t>
            </w:r>
          </w:p>
        </w:tc>
        <w:tc>
          <w:tcPr>
            <w:tcW w:w="1574"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16.5</w:t>
            </w:r>
          </w:p>
        </w:tc>
        <w:tc>
          <w:tcPr>
            <w:tcW w:w="1311" w:type="dxa"/>
            <w:noWrap/>
            <w:hideMark/>
          </w:tcPr>
          <w:p w:rsidR="003A5A5C" w:rsidRPr="0024023D" w:rsidRDefault="003A5A5C" w:rsidP="003A5A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N/S</w:t>
            </w:r>
          </w:p>
        </w:tc>
        <w:tc>
          <w:tcPr>
            <w:tcW w:w="1399" w:type="dxa"/>
            <w:noWrap/>
            <w:hideMark/>
          </w:tcPr>
          <w:p w:rsidR="003A5A5C" w:rsidRPr="0024023D" w:rsidRDefault="003A5A5C" w:rsidP="003A5A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4023D">
              <w:rPr>
                <w:rFonts w:ascii="Calibri" w:eastAsia="Times New Roman" w:hAnsi="Calibri" w:cs="Times New Roman"/>
                <w:color w:val="000000"/>
              </w:rPr>
              <w:t>17.6</w:t>
            </w:r>
          </w:p>
        </w:tc>
      </w:tr>
    </w:tbl>
    <w:p w:rsidR="003A5A5C" w:rsidRDefault="003A5A5C" w:rsidP="005324DA">
      <w:pPr>
        <w:pStyle w:val="NoSpacing"/>
        <w:rPr>
          <w:sz w:val="20"/>
          <w:szCs w:val="20"/>
        </w:rPr>
      </w:pPr>
    </w:p>
    <w:p w:rsidR="005324DA" w:rsidRPr="005324DA" w:rsidRDefault="003A5A5C" w:rsidP="005324DA">
      <w:pPr>
        <w:pStyle w:val="NoSpacing"/>
        <w:rPr>
          <w:rFonts w:ascii="Calibri" w:eastAsia="Times New Roman" w:hAnsi="Calibri" w:cs="Times New Roman"/>
          <w:color w:val="000000"/>
          <w:sz w:val="20"/>
          <w:szCs w:val="20"/>
        </w:rPr>
      </w:pPr>
      <w:r>
        <w:rPr>
          <w:sz w:val="20"/>
          <w:szCs w:val="20"/>
        </w:rPr>
        <w:t>T</w:t>
      </w:r>
      <w:r w:rsidR="005324DA">
        <w:rPr>
          <w:sz w:val="20"/>
          <w:szCs w:val="20"/>
        </w:rPr>
        <w:t>able 5.</w:t>
      </w:r>
      <w:r w:rsidR="00174BAE">
        <w:rPr>
          <w:sz w:val="20"/>
          <w:szCs w:val="20"/>
        </w:rPr>
        <w:t>3</w:t>
      </w:r>
      <w:r w:rsidR="005324DA">
        <w:rPr>
          <w:sz w:val="20"/>
          <w:szCs w:val="20"/>
        </w:rPr>
        <w:t>- Source</w:t>
      </w:r>
      <w:r w:rsidR="00174BAE">
        <w:rPr>
          <w:sz w:val="20"/>
          <w:szCs w:val="20"/>
        </w:rPr>
        <w:t>:</w:t>
      </w:r>
      <w:r w:rsidR="005324DA">
        <w:rPr>
          <w:sz w:val="20"/>
          <w:szCs w:val="20"/>
        </w:rPr>
        <w:t xml:space="preserve"> MO DHSS Community Health Profiles, Prenatal; </w:t>
      </w:r>
      <w:r w:rsidR="005324DA" w:rsidRPr="005324DA">
        <w:rPr>
          <w:rFonts w:ascii="Calibri" w:eastAsia="Times New Roman" w:hAnsi="Calibri" w:cs="Times New Roman"/>
          <w:color w:val="000000"/>
          <w:sz w:val="20"/>
          <w:szCs w:val="20"/>
        </w:rPr>
        <w:t>* Fewer than 20 events in numerator; rate is unstable.</w:t>
      </w:r>
    </w:p>
    <w:p w:rsidR="0024023D" w:rsidRDefault="0024023D" w:rsidP="0066746B">
      <w:pPr>
        <w:pStyle w:val="NoSpacing"/>
        <w:rPr>
          <w:sz w:val="20"/>
          <w:szCs w:val="20"/>
        </w:rPr>
      </w:pPr>
    </w:p>
    <w:p w:rsidR="00174BAE" w:rsidRPr="00174BAE" w:rsidRDefault="00174BAE" w:rsidP="0066746B">
      <w:pPr>
        <w:pStyle w:val="NoSpacing"/>
        <w:rPr>
          <w:b/>
        </w:rPr>
      </w:pPr>
      <w:r w:rsidRPr="00174BAE">
        <w:rPr>
          <w:b/>
        </w:rPr>
        <w:t>WIC (Women, Infants and Children) Program Utilization</w:t>
      </w:r>
    </w:p>
    <w:p w:rsidR="000628DA" w:rsidRDefault="00174BAE" w:rsidP="0066746B">
      <w:pPr>
        <w:pStyle w:val="NoSpacing"/>
      </w:pPr>
      <w:r w:rsidRPr="00174BAE">
        <w:t xml:space="preserve">WIC is an educational based nutrition program that </w:t>
      </w:r>
      <w:r w:rsidR="000628DA">
        <w:t>teaches</w:t>
      </w:r>
      <w:r w:rsidRPr="00174BAE">
        <w:t xml:space="preserve"> mothers and young children </w:t>
      </w:r>
      <w:r w:rsidR="000628DA">
        <w:t xml:space="preserve">how to </w:t>
      </w:r>
      <w:r w:rsidRPr="00174BAE">
        <w:t>eat well and stay healthy.  WIC is for women who are pregnant</w:t>
      </w:r>
      <w:r>
        <w:t>, breastfeeding or whose pregnancy recently ended; infants under 12 months old; and children under 5 years old</w:t>
      </w:r>
      <w:r w:rsidR="000628DA">
        <w:t xml:space="preserve"> who qualify based on income and health risk needs</w:t>
      </w:r>
      <w:r>
        <w:t>.  WIC promotes and educates on the benefits of breastfeeding</w:t>
      </w:r>
      <w:r w:rsidR="000628DA">
        <w:t xml:space="preserve"> for mothers and their infants</w:t>
      </w:r>
      <w:r>
        <w:t xml:space="preserve">.  Qualifying women, infants and children are prescribed a food package </w:t>
      </w:r>
      <w:r w:rsidR="000628DA">
        <w:t>based on individual need.  New food items recently added to WIC food packages include, whole wheat bread or tortillas, tofu, fresh or frozen fruits and vegetables, canned beans and jars of baby food.</w:t>
      </w:r>
      <w:r w:rsidR="007954DE">
        <w:t xml:space="preserve">  </w:t>
      </w:r>
      <w:r w:rsidR="000628DA">
        <w:t xml:space="preserve">The growth of the county has also carried over on the demand for the WIC program.  Table 5.4 </w:t>
      </w:r>
      <w:r w:rsidR="00DE2BA9">
        <w:t>depicts the</w:t>
      </w:r>
      <w:r w:rsidR="000628DA">
        <w:t xml:space="preserve"> </w:t>
      </w:r>
      <w:r w:rsidR="000C089E">
        <w:t>total participants served by year</w:t>
      </w:r>
      <w:r w:rsidR="000628DA">
        <w:t>.</w:t>
      </w:r>
    </w:p>
    <w:p w:rsidR="00DE2BA9" w:rsidRDefault="00DE2BA9" w:rsidP="00DE2BA9">
      <w:pPr>
        <w:pStyle w:val="NoSpacing"/>
        <w:jc w:val="center"/>
      </w:pPr>
      <w:r w:rsidRPr="00DE2BA9">
        <w:rPr>
          <w:noProof/>
        </w:rPr>
        <w:drawing>
          <wp:inline distT="0" distB="0" distL="0" distR="0">
            <wp:extent cx="4572000" cy="2743200"/>
            <wp:effectExtent l="95250" t="95250" r="114300" b="7620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28DA" w:rsidRDefault="00DE2BA9" w:rsidP="0066746B">
      <w:pPr>
        <w:pStyle w:val="NoSpacing"/>
        <w:rPr>
          <w:sz w:val="20"/>
          <w:szCs w:val="20"/>
        </w:rPr>
      </w:pPr>
      <w:r>
        <w:t xml:space="preserve">                     </w:t>
      </w:r>
      <w:r>
        <w:rPr>
          <w:sz w:val="20"/>
          <w:szCs w:val="20"/>
        </w:rPr>
        <w:t>Table 5.4-Source: MO DHSS, WIC MICA</w:t>
      </w:r>
    </w:p>
    <w:p w:rsidR="00DE2BA9" w:rsidRDefault="00DE2BA9" w:rsidP="0066746B">
      <w:pPr>
        <w:pStyle w:val="NoSpacing"/>
        <w:rPr>
          <w:sz w:val="20"/>
          <w:szCs w:val="20"/>
        </w:rPr>
      </w:pPr>
    </w:p>
    <w:p w:rsidR="00DE2BA9" w:rsidRDefault="00DE2BA9" w:rsidP="0066746B">
      <w:pPr>
        <w:pStyle w:val="NoSpacing"/>
      </w:pPr>
    </w:p>
    <w:p w:rsidR="003A5A5C" w:rsidRDefault="003A5A5C" w:rsidP="0066746B">
      <w:pPr>
        <w:pStyle w:val="NoSpacing"/>
      </w:pPr>
    </w:p>
    <w:p w:rsidR="00DE2BA9" w:rsidRDefault="000C089E" w:rsidP="000C089E">
      <w:pPr>
        <w:pStyle w:val="NoSpacing"/>
        <w:pBdr>
          <w:top w:val="single" w:sz="4" w:space="1" w:color="auto"/>
          <w:bottom w:val="single" w:sz="4" w:space="1" w:color="auto"/>
        </w:pBdr>
        <w:jc w:val="center"/>
        <w:rPr>
          <w:b/>
        </w:rPr>
      </w:pPr>
      <w:r>
        <w:rPr>
          <w:b/>
        </w:rPr>
        <w:t>Prevalence of Infectious Disease</w:t>
      </w:r>
    </w:p>
    <w:p w:rsidR="000C089E" w:rsidRDefault="000C089E" w:rsidP="000C089E">
      <w:pPr>
        <w:pStyle w:val="NoSpacing"/>
        <w:jc w:val="center"/>
        <w:rPr>
          <w:b/>
        </w:rPr>
      </w:pPr>
    </w:p>
    <w:p w:rsidR="000C089E" w:rsidRDefault="000C089E" w:rsidP="000C089E">
      <w:pPr>
        <w:pStyle w:val="NoSpacing"/>
        <w:rPr>
          <w:szCs w:val="20"/>
        </w:rPr>
      </w:pPr>
      <w:r>
        <w:rPr>
          <w:szCs w:val="20"/>
        </w:rPr>
        <w:t>Each year the Pulaski County Health Department reports, investigates and educates on the communicable diseases in the county.  A system is in place to receive and transmit information on reportable communicable, environmental and occupational disease reports received from laboratories, physicians, hospitals, clinics, or other public/private institutions as defined in CSR 20-20.020. The Communicable Disease Preventions programs:</w:t>
      </w:r>
    </w:p>
    <w:p w:rsidR="000C089E" w:rsidRDefault="000C089E" w:rsidP="000C089E">
      <w:pPr>
        <w:pStyle w:val="NoSpacing"/>
        <w:numPr>
          <w:ilvl w:val="0"/>
          <w:numId w:val="3"/>
        </w:numPr>
        <w:rPr>
          <w:szCs w:val="20"/>
        </w:rPr>
      </w:pPr>
      <w:r>
        <w:rPr>
          <w:szCs w:val="20"/>
        </w:rPr>
        <w:t>Provide health care providers and mandated disease reporters information about reporting requirements, methods of reporting, and recognition of, and response to critical incidents.</w:t>
      </w:r>
    </w:p>
    <w:p w:rsidR="000C089E" w:rsidRDefault="000C089E" w:rsidP="000C089E">
      <w:pPr>
        <w:pStyle w:val="NoSpacing"/>
        <w:numPr>
          <w:ilvl w:val="0"/>
          <w:numId w:val="3"/>
        </w:numPr>
        <w:rPr>
          <w:szCs w:val="20"/>
        </w:rPr>
      </w:pPr>
      <w:r>
        <w:rPr>
          <w:szCs w:val="20"/>
        </w:rPr>
        <w:t>Provide the community with information on community health risk.</w:t>
      </w:r>
    </w:p>
    <w:p w:rsidR="000C089E" w:rsidRDefault="000C089E" w:rsidP="000C089E">
      <w:pPr>
        <w:pStyle w:val="NoSpacing"/>
        <w:numPr>
          <w:ilvl w:val="0"/>
          <w:numId w:val="3"/>
        </w:numPr>
        <w:rPr>
          <w:szCs w:val="20"/>
        </w:rPr>
      </w:pPr>
      <w:r>
        <w:rPr>
          <w:szCs w:val="20"/>
        </w:rPr>
        <w:t>Provide health education information on specific diseases to individual clients.</w:t>
      </w:r>
    </w:p>
    <w:p w:rsidR="007954DE" w:rsidRDefault="007954DE" w:rsidP="000C089E">
      <w:pPr>
        <w:pStyle w:val="NoSpacing"/>
        <w:rPr>
          <w:szCs w:val="20"/>
        </w:rPr>
      </w:pPr>
    </w:p>
    <w:p w:rsidR="003A5A5C" w:rsidRDefault="003A5A5C" w:rsidP="000C089E">
      <w:pPr>
        <w:pStyle w:val="NoSpacing"/>
        <w:rPr>
          <w:szCs w:val="20"/>
        </w:rPr>
      </w:pPr>
    </w:p>
    <w:p w:rsidR="003A5A5C" w:rsidRDefault="003A5A5C" w:rsidP="000C089E">
      <w:pPr>
        <w:pStyle w:val="NoSpacing"/>
        <w:rPr>
          <w:szCs w:val="20"/>
        </w:rPr>
      </w:pPr>
    </w:p>
    <w:p w:rsidR="003A5A5C" w:rsidRDefault="003A5A5C" w:rsidP="000C089E">
      <w:pPr>
        <w:pStyle w:val="NoSpacing"/>
        <w:rPr>
          <w:szCs w:val="20"/>
        </w:rPr>
      </w:pPr>
    </w:p>
    <w:p w:rsidR="003A5A5C" w:rsidRDefault="003A5A5C" w:rsidP="000C089E">
      <w:pPr>
        <w:pStyle w:val="NoSpacing"/>
        <w:rPr>
          <w:szCs w:val="20"/>
        </w:rPr>
      </w:pPr>
    </w:p>
    <w:p w:rsidR="003A5A5C" w:rsidRDefault="003A5A5C" w:rsidP="000C089E">
      <w:pPr>
        <w:pStyle w:val="NoSpacing"/>
        <w:rPr>
          <w:szCs w:val="20"/>
        </w:rPr>
      </w:pPr>
    </w:p>
    <w:p w:rsidR="003A5A5C" w:rsidRDefault="003A5A5C" w:rsidP="000C089E">
      <w:pPr>
        <w:pStyle w:val="NoSpacing"/>
        <w:rPr>
          <w:szCs w:val="20"/>
        </w:rPr>
      </w:pPr>
    </w:p>
    <w:p w:rsidR="003A5A5C" w:rsidRDefault="003A5A5C" w:rsidP="000C089E">
      <w:pPr>
        <w:pStyle w:val="NoSpacing"/>
        <w:rPr>
          <w:szCs w:val="20"/>
        </w:rPr>
      </w:pPr>
    </w:p>
    <w:p w:rsidR="003A5A5C" w:rsidRDefault="003A5A5C" w:rsidP="000C089E">
      <w:pPr>
        <w:pStyle w:val="NoSpacing"/>
        <w:rPr>
          <w:szCs w:val="20"/>
        </w:rPr>
      </w:pPr>
    </w:p>
    <w:p w:rsidR="003A5A5C" w:rsidRDefault="003A5A5C" w:rsidP="000C089E">
      <w:pPr>
        <w:pStyle w:val="NoSpacing"/>
        <w:rPr>
          <w:szCs w:val="20"/>
        </w:rPr>
      </w:pPr>
    </w:p>
    <w:p w:rsidR="000C089E" w:rsidRDefault="000C089E" w:rsidP="000C089E">
      <w:pPr>
        <w:pStyle w:val="NoSpacing"/>
        <w:rPr>
          <w:szCs w:val="20"/>
        </w:rPr>
      </w:pPr>
      <w:r>
        <w:rPr>
          <w:szCs w:val="20"/>
        </w:rPr>
        <w:t>The total number</w:t>
      </w:r>
      <w:r w:rsidR="007954DE">
        <w:rPr>
          <w:szCs w:val="20"/>
        </w:rPr>
        <w:t xml:space="preserve">  (847)</w:t>
      </w:r>
      <w:r>
        <w:rPr>
          <w:szCs w:val="20"/>
        </w:rPr>
        <w:t xml:space="preserve"> of diseases reported</w:t>
      </w:r>
      <w:r w:rsidR="007954DE">
        <w:rPr>
          <w:szCs w:val="20"/>
        </w:rPr>
        <w:t xml:space="preserve"> </w:t>
      </w:r>
      <w:r>
        <w:rPr>
          <w:szCs w:val="20"/>
        </w:rPr>
        <w:t xml:space="preserve">to the health department in 2009 is as follows: </w:t>
      </w:r>
    </w:p>
    <w:p w:rsidR="000C089E" w:rsidRDefault="00A13B86" w:rsidP="000C089E">
      <w:pPr>
        <w:pStyle w:val="NoSpacing"/>
        <w:rPr>
          <w:szCs w:val="20"/>
        </w:rPr>
      </w:pPr>
      <w:r>
        <w:rPr>
          <w:noProof/>
          <w:szCs w:val="20"/>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27940</wp:posOffset>
            </wp:positionV>
            <wp:extent cx="3800475" cy="2581275"/>
            <wp:effectExtent l="0" t="0" r="0"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13B86" w:rsidRDefault="00A13B86" w:rsidP="00A13B86">
      <w:pPr>
        <w:pStyle w:val="NoSpacing"/>
        <w:ind w:left="720"/>
        <w:rPr>
          <w:szCs w:val="20"/>
        </w:rPr>
      </w:pPr>
    </w:p>
    <w:p w:rsidR="00A13B86" w:rsidRDefault="00A13B86" w:rsidP="00A13B86">
      <w:pPr>
        <w:pStyle w:val="NoSpacing"/>
        <w:ind w:left="720"/>
        <w:rPr>
          <w:szCs w:val="20"/>
        </w:rPr>
      </w:pPr>
    </w:p>
    <w:p w:rsidR="00A13B86" w:rsidRPr="00A13B86" w:rsidRDefault="00A13B86" w:rsidP="00A13B86">
      <w:pPr>
        <w:pStyle w:val="NoSpacing"/>
        <w:rPr>
          <w:szCs w:val="20"/>
        </w:rPr>
      </w:pPr>
    </w:p>
    <w:p w:rsidR="000C089E" w:rsidRDefault="000C089E" w:rsidP="000C089E">
      <w:pPr>
        <w:pStyle w:val="NoSpacing"/>
        <w:numPr>
          <w:ilvl w:val="0"/>
          <w:numId w:val="4"/>
        </w:numPr>
        <w:rPr>
          <w:szCs w:val="20"/>
        </w:rPr>
      </w:pPr>
      <w:r>
        <w:rPr>
          <w:szCs w:val="20"/>
        </w:rPr>
        <w:t>Animal Bites</w:t>
      </w:r>
      <w:r w:rsidR="00D10894">
        <w:rPr>
          <w:szCs w:val="20"/>
        </w:rPr>
        <w:t xml:space="preserve"> </w:t>
      </w:r>
      <w:r w:rsidR="00D10894">
        <w:rPr>
          <w:b/>
          <w:szCs w:val="20"/>
        </w:rPr>
        <w:t>(107)</w:t>
      </w:r>
      <w:r w:rsidR="00A13B86" w:rsidRPr="00A13B86">
        <w:rPr>
          <w:noProof/>
        </w:rPr>
        <w:t xml:space="preserve"> </w:t>
      </w:r>
    </w:p>
    <w:p w:rsidR="000C089E" w:rsidRDefault="000C089E" w:rsidP="000C089E">
      <w:pPr>
        <w:pStyle w:val="NoSpacing"/>
        <w:numPr>
          <w:ilvl w:val="0"/>
          <w:numId w:val="4"/>
        </w:numPr>
        <w:rPr>
          <w:szCs w:val="20"/>
        </w:rPr>
      </w:pPr>
      <w:r>
        <w:rPr>
          <w:szCs w:val="20"/>
        </w:rPr>
        <w:t>Food/Water Borne</w:t>
      </w:r>
      <w:r w:rsidR="00D10894">
        <w:rPr>
          <w:szCs w:val="20"/>
        </w:rPr>
        <w:t xml:space="preserve"> </w:t>
      </w:r>
      <w:r w:rsidR="00D10894">
        <w:rPr>
          <w:b/>
          <w:szCs w:val="20"/>
        </w:rPr>
        <w:t>(16)</w:t>
      </w:r>
    </w:p>
    <w:p w:rsidR="000C089E" w:rsidRDefault="000C089E" w:rsidP="000C089E">
      <w:pPr>
        <w:pStyle w:val="NoSpacing"/>
        <w:numPr>
          <w:ilvl w:val="0"/>
          <w:numId w:val="4"/>
        </w:numPr>
        <w:rPr>
          <w:szCs w:val="20"/>
        </w:rPr>
      </w:pPr>
      <w:r>
        <w:rPr>
          <w:szCs w:val="20"/>
        </w:rPr>
        <w:t>Tick/Mosquito Borne</w:t>
      </w:r>
      <w:r w:rsidR="00D10894">
        <w:rPr>
          <w:b/>
          <w:szCs w:val="20"/>
        </w:rPr>
        <w:t>(48)</w:t>
      </w:r>
    </w:p>
    <w:p w:rsidR="000C089E" w:rsidRDefault="00D10894" w:rsidP="000C089E">
      <w:pPr>
        <w:pStyle w:val="NoSpacing"/>
        <w:numPr>
          <w:ilvl w:val="0"/>
          <w:numId w:val="4"/>
        </w:numPr>
        <w:rPr>
          <w:szCs w:val="20"/>
        </w:rPr>
      </w:pPr>
      <w:r>
        <w:rPr>
          <w:szCs w:val="20"/>
        </w:rPr>
        <w:t xml:space="preserve">Influenza </w:t>
      </w:r>
      <w:r>
        <w:rPr>
          <w:b/>
          <w:szCs w:val="20"/>
        </w:rPr>
        <w:t>(182)</w:t>
      </w:r>
    </w:p>
    <w:p w:rsidR="000C089E" w:rsidRDefault="000C089E" w:rsidP="000C089E">
      <w:pPr>
        <w:pStyle w:val="NoSpacing"/>
        <w:numPr>
          <w:ilvl w:val="0"/>
          <w:numId w:val="4"/>
        </w:numPr>
        <w:rPr>
          <w:szCs w:val="20"/>
        </w:rPr>
      </w:pPr>
      <w:r>
        <w:rPr>
          <w:szCs w:val="20"/>
        </w:rPr>
        <w:t>Latent TB Infection</w:t>
      </w:r>
      <w:r w:rsidR="00D10894">
        <w:rPr>
          <w:szCs w:val="20"/>
        </w:rPr>
        <w:t xml:space="preserve"> </w:t>
      </w:r>
      <w:r w:rsidR="00D10894" w:rsidRPr="00D10894">
        <w:rPr>
          <w:b/>
          <w:szCs w:val="20"/>
        </w:rPr>
        <w:t>(2)</w:t>
      </w:r>
    </w:p>
    <w:p w:rsidR="000C089E" w:rsidRDefault="000C089E" w:rsidP="000C089E">
      <w:pPr>
        <w:pStyle w:val="NoSpacing"/>
        <w:numPr>
          <w:ilvl w:val="0"/>
          <w:numId w:val="4"/>
        </w:numPr>
        <w:rPr>
          <w:szCs w:val="20"/>
        </w:rPr>
      </w:pPr>
      <w:r>
        <w:rPr>
          <w:szCs w:val="20"/>
        </w:rPr>
        <w:t xml:space="preserve">Sexually Transmitted </w:t>
      </w:r>
      <w:r w:rsidR="00D10894" w:rsidRPr="00D10894">
        <w:rPr>
          <w:b/>
          <w:szCs w:val="20"/>
        </w:rPr>
        <w:t>(435)</w:t>
      </w:r>
    </w:p>
    <w:p w:rsidR="00A13B86" w:rsidRDefault="000C089E" w:rsidP="00D10894">
      <w:pPr>
        <w:pStyle w:val="NoSpacing"/>
        <w:numPr>
          <w:ilvl w:val="0"/>
          <w:numId w:val="4"/>
        </w:numPr>
        <w:rPr>
          <w:b/>
          <w:szCs w:val="20"/>
        </w:rPr>
      </w:pPr>
      <w:r w:rsidRPr="00A13B86">
        <w:rPr>
          <w:szCs w:val="20"/>
        </w:rPr>
        <w:t>Hepatitis (A, B, C)</w:t>
      </w:r>
      <w:r w:rsidR="00D10894" w:rsidRPr="00A13B86">
        <w:rPr>
          <w:szCs w:val="20"/>
        </w:rPr>
        <w:t xml:space="preserve"> </w:t>
      </w:r>
      <w:r w:rsidR="00D10894" w:rsidRPr="00A13B86">
        <w:rPr>
          <w:b/>
          <w:szCs w:val="20"/>
        </w:rPr>
        <w:t>(57)</w:t>
      </w:r>
    </w:p>
    <w:p w:rsidR="00A13B86" w:rsidRPr="00A13B86" w:rsidRDefault="00A13B86" w:rsidP="00A13B86">
      <w:pPr>
        <w:pStyle w:val="NoSpacing"/>
        <w:ind w:left="720"/>
        <w:rPr>
          <w:b/>
          <w:szCs w:val="20"/>
        </w:rPr>
      </w:pPr>
    </w:p>
    <w:p w:rsidR="00A13B86" w:rsidRDefault="00A13B86" w:rsidP="00D10894">
      <w:pPr>
        <w:pStyle w:val="NoSpacing"/>
        <w:rPr>
          <w:b/>
          <w:szCs w:val="20"/>
        </w:rPr>
      </w:pPr>
    </w:p>
    <w:p w:rsidR="00A13B86" w:rsidRDefault="00A13B86" w:rsidP="00D10894">
      <w:pPr>
        <w:pStyle w:val="NoSpacing"/>
        <w:rPr>
          <w:b/>
          <w:szCs w:val="20"/>
        </w:rPr>
      </w:pPr>
    </w:p>
    <w:p w:rsidR="00A13B86" w:rsidRDefault="00A13B86" w:rsidP="00D10894">
      <w:pPr>
        <w:pStyle w:val="NoSpacing"/>
        <w:rPr>
          <w:b/>
          <w:szCs w:val="20"/>
        </w:rPr>
      </w:pPr>
    </w:p>
    <w:p w:rsidR="00A13B86" w:rsidRPr="00A13B86" w:rsidRDefault="00A13B86" w:rsidP="00D10894">
      <w:pPr>
        <w:pStyle w:val="NoSpacing"/>
        <w:rPr>
          <w:sz w:val="20"/>
          <w:szCs w:val="20"/>
        </w:rPr>
      </w:pPr>
      <w:r>
        <w:rPr>
          <w:b/>
          <w:szCs w:val="20"/>
        </w:rPr>
        <w:tab/>
      </w:r>
      <w:r>
        <w:rPr>
          <w:b/>
          <w:szCs w:val="20"/>
        </w:rPr>
        <w:tab/>
      </w:r>
      <w:r>
        <w:rPr>
          <w:b/>
          <w:szCs w:val="20"/>
        </w:rPr>
        <w:tab/>
      </w:r>
      <w:r>
        <w:rPr>
          <w:b/>
          <w:szCs w:val="20"/>
        </w:rPr>
        <w:tab/>
      </w:r>
      <w:r>
        <w:rPr>
          <w:b/>
          <w:szCs w:val="20"/>
        </w:rPr>
        <w:tab/>
        <w:t xml:space="preserve">        </w:t>
      </w:r>
      <w:r>
        <w:rPr>
          <w:sz w:val="20"/>
          <w:szCs w:val="20"/>
        </w:rPr>
        <w:t>Table 6.1- Source: PCHD 2009 Annual Report</w:t>
      </w:r>
    </w:p>
    <w:p w:rsidR="00A13B86" w:rsidRDefault="00A13B86" w:rsidP="00D10894">
      <w:pPr>
        <w:pStyle w:val="NoSpacing"/>
        <w:rPr>
          <w:b/>
          <w:szCs w:val="20"/>
        </w:rPr>
      </w:pPr>
    </w:p>
    <w:p w:rsidR="00D10894" w:rsidRDefault="00D10894" w:rsidP="00D10894">
      <w:pPr>
        <w:pStyle w:val="NoSpacing"/>
        <w:rPr>
          <w:szCs w:val="20"/>
        </w:rPr>
      </w:pPr>
      <w:r>
        <w:rPr>
          <w:szCs w:val="20"/>
        </w:rPr>
        <w:t xml:space="preserve">Sexually transmitted disease continues to be the leading communicable disease at more than 50 percent of the total cases in the county.  </w:t>
      </w:r>
      <w:r w:rsidR="004C137E">
        <w:rPr>
          <w:szCs w:val="20"/>
        </w:rPr>
        <w:t>A county rate of 2063.9 for reported Chlamydia in females age 15-44 was statistically significantly higher than the statewide rate of 1423.23</w:t>
      </w:r>
      <w:r w:rsidR="00475533">
        <w:rPr>
          <w:szCs w:val="20"/>
        </w:rPr>
        <w:t xml:space="preserve"> in 2006-2008</w:t>
      </w:r>
      <w:r w:rsidR="004C137E">
        <w:rPr>
          <w:szCs w:val="20"/>
        </w:rPr>
        <w:t xml:space="preserve">.  This has been an ongoing </w:t>
      </w:r>
      <w:r w:rsidR="00475533">
        <w:rPr>
          <w:szCs w:val="20"/>
        </w:rPr>
        <w:t xml:space="preserve">health issue in our county and has continued to grow and prove challenging.  </w:t>
      </w:r>
    </w:p>
    <w:p w:rsidR="00475533" w:rsidRDefault="00475533" w:rsidP="00D10894">
      <w:pPr>
        <w:pStyle w:val="NoSpacing"/>
        <w:rPr>
          <w:szCs w:val="20"/>
        </w:rPr>
      </w:pPr>
    </w:p>
    <w:p w:rsidR="00475533" w:rsidRDefault="00475533" w:rsidP="00475533">
      <w:pPr>
        <w:pStyle w:val="NoSpacing"/>
        <w:jc w:val="center"/>
        <w:rPr>
          <w:szCs w:val="20"/>
        </w:rPr>
      </w:pPr>
      <w:r w:rsidRPr="00475533">
        <w:rPr>
          <w:noProof/>
          <w:szCs w:val="20"/>
        </w:rPr>
        <w:drawing>
          <wp:inline distT="0" distB="0" distL="0" distR="0">
            <wp:extent cx="4267200" cy="2705100"/>
            <wp:effectExtent l="95250" t="95250" r="114300" b="7620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5533" w:rsidRDefault="00103389" w:rsidP="00103389">
      <w:pPr>
        <w:pStyle w:val="NoSpacing"/>
        <w:rPr>
          <w:sz w:val="20"/>
          <w:szCs w:val="20"/>
        </w:rPr>
      </w:pPr>
      <w:r>
        <w:rPr>
          <w:sz w:val="20"/>
          <w:szCs w:val="20"/>
        </w:rPr>
        <w:tab/>
        <w:t xml:space="preserve">             Table 6.2-Source: MO DHSS, Maternal Health Profile</w:t>
      </w:r>
    </w:p>
    <w:p w:rsidR="00103389" w:rsidRDefault="00103389" w:rsidP="00103389">
      <w:pPr>
        <w:pStyle w:val="NoSpacing"/>
      </w:pPr>
    </w:p>
    <w:p w:rsidR="00103389" w:rsidRDefault="00103389" w:rsidP="00103389">
      <w:pPr>
        <w:pStyle w:val="NoSpacing"/>
      </w:pPr>
      <w:r>
        <w:t>With the continuous increase, the health department has worked diligently to step up our efforts to combat this problem.  We continue to offer more abstinence programs to local school districts; offer testing and prevention measures to residents of the community; and offer more frequent clinics with extended hours.  Because of more frequent testing, the health department realizes that we may continue to see a slight increase in cases, but hope to see a decline in the near future.</w:t>
      </w:r>
    </w:p>
    <w:p w:rsidR="00103389" w:rsidRDefault="00103389" w:rsidP="00103389">
      <w:pPr>
        <w:pStyle w:val="NoSpacing"/>
      </w:pPr>
    </w:p>
    <w:p w:rsidR="00103389" w:rsidRDefault="00103389" w:rsidP="00103389">
      <w:pPr>
        <w:pStyle w:val="NoSpacing"/>
      </w:pPr>
      <w:r>
        <w:t xml:space="preserve">In April 2009, the health department </w:t>
      </w:r>
      <w:r w:rsidR="00FD7FD1">
        <w:t xml:space="preserve">hosted the first Annual Steppin’ Out Tea Time.  A representative from the Department of Health and Senior Services was the guest speaker and educator on the responsibilities and choices teen girls will face.  There were 18 eighth grade girls and three mothers in attendance along with their Health Education teacher.  The attendees were educated on the different STD’s and how they are contracted.  The main focus was on abstinence as prevention as well opening up opportunities </w:t>
      </w:r>
      <w:r w:rsidR="009335DC">
        <w:t>for conversation between parents and their teenagers.</w:t>
      </w:r>
    </w:p>
    <w:p w:rsidR="003A5A5C" w:rsidRDefault="003A5A5C" w:rsidP="00103389">
      <w:pPr>
        <w:pStyle w:val="NoSpacing"/>
      </w:pPr>
    </w:p>
    <w:p w:rsidR="009335DC" w:rsidRDefault="009335DC" w:rsidP="009335DC">
      <w:pPr>
        <w:pStyle w:val="NoSpacing"/>
        <w:pBdr>
          <w:top w:val="single" w:sz="4" w:space="1" w:color="auto"/>
          <w:bottom w:val="single" w:sz="4" w:space="1" w:color="auto"/>
        </w:pBdr>
        <w:jc w:val="center"/>
        <w:rPr>
          <w:b/>
        </w:rPr>
      </w:pPr>
      <w:r>
        <w:rPr>
          <w:b/>
        </w:rPr>
        <w:t>Prevalence of Chronic Risk Factors Leading Causes of Mortality</w:t>
      </w:r>
    </w:p>
    <w:p w:rsidR="009335DC" w:rsidRDefault="009335DC" w:rsidP="009335DC">
      <w:pPr>
        <w:pStyle w:val="NoSpacing"/>
        <w:jc w:val="center"/>
        <w:rPr>
          <w:b/>
        </w:rPr>
      </w:pPr>
    </w:p>
    <w:p w:rsidR="009335DC" w:rsidRDefault="00935CE9" w:rsidP="009335DC">
      <w:pPr>
        <w:pStyle w:val="NoSpacing"/>
        <w:rPr>
          <w:b/>
        </w:rPr>
      </w:pPr>
      <w:r>
        <w:rPr>
          <w:b/>
        </w:rPr>
        <w:t>Health Outcomes:</w:t>
      </w:r>
    </w:p>
    <w:p w:rsidR="00935CE9" w:rsidRDefault="00935CE9" w:rsidP="009335DC">
      <w:pPr>
        <w:pStyle w:val="NoSpacing"/>
      </w:pPr>
      <w:r>
        <w:t xml:space="preserve">According to the 2010 County Health Rankings, Pulaski County is ranked 52 out of 115 counties overall for Health Outcomes.  This ranking is scored based on a county’s mortality and morbidity rates.  </w:t>
      </w:r>
      <w:r w:rsidR="00352200">
        <w:t xml:space="preserve">The county’s ranking for mortality was 62 out of 115.  Mortality looks at premature death rate or the number of years of potential life lost before the age of 75.  Every death that occurs before the age of 75 will add to the total number of potential years of life lost.  </w:t>
      </w:r>
      <w:r w:rsidR="00AE5665">
        <w:t>Our morbidity ranking was 48 out of 115.  The morbidity ranking looks at the reported number of quality of health days and low birth-weight.   For a more in-depth look at the details, see Table 7.1.</w:t>
      </w:r>
    </w:p>
    <w:p w:rsidR="00C66F98" w:rsidRDefault="00C66F98" w:rsidP="009335DC">
      <w:pPr>
        <w:pStyle w:val="NoSpacing"/>
        <w:rPr>
          <w:b/>
        </w:rPr>
      </w:pPr>
    </w:p>
    <w:p w:rsidR="00AE5665" w:rsidRDefault="00AE5665" w:rsidP="009335DC">
      <w:pPr>
        <w:pStyle w:val="NoSpacing"/>
        <w:rPr>
          <w:b/>
        </w:rPr>
      </w:pPr>
      <w:r>
        <w:rPr>
          <w:b/>
        </w:rPr>
        <w:t>Health Factors:</w:t>
      </w:r>
    </w:p>
    <w:p w:rsidR="00AE5665" w:rsidRDefault="00AE5665" w:rsidP="009335DC">
      <w:pPr>
        <w:pStyle w:val="NoSpacing"/>
      </w:pPr>
      <w:r>
        <w:t xml:space="preserve">The 2010 County Health Rankings shows Pulaski County at a ranking of 89 out of 115 for Health Factors.  </w:t>
      </w:r>
      <w:r w:rsidR="002114FF">
        <w:t>Four different categories were looked at to obtain the overall Health Factors ranking; Health Behaviors (ranked 109), Clinical Care (ranked 75), Social &amp; Economic Factors (ranked 34) and Physical Environment (ranked 20).  The lower ranking of the Health Behaviors category is associated with our adult smoking rates (30%), adult obesity rates (32%), binge drinking (13%), motor vehicle crash death rate (20), Chlamydia rate (659) and teen birth rate (41).  See Table 7.1.</w:t>
      </w:r>
    </w:p>
    <w:p w:rsidR="00B47370" w:rsidRDefault="00B47370" w:rsidP="009335DC">
      <w:pPr>
        <w:pStyle w:val="NoSpacing"/>
        <w:rPr>
          <w:b/>
        </w:rPr>
      </w:pPr>
    </w:p>
    <w:tbl>
      <w:tblPr>
        <w:tblStyle w:val="MediumGrid3-Accent1"/>
        <w:tblW w:w="5416" w:type="dxa"/>
        <w:tblLook w:val="04A0" w:firstRow="1" w:lastRow="0" w:firstColumn="1" w:lastColumn="0" w:noHBand="0" w:noVBand="1"/>
      </w:tblPr>
      <w:tblGrid>
        <w:gridCol w:w="2359"/>
        <w:gridCol w:w="985"/>
        <w:gridCol w:w="985"/>
        <w:gridCol w:w="1087"/>
      </w:tblGrid>
      <w:tr w:rsidR="00F76826" w:rsidRPr="00F76826" w:rsidTr="00F76826">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359" w:type="dxa"/>
            <w:vMerge w:val="restart"/>
            <w:hideMark/>
          </w:tcPr>
          <w:p w:rsidR="00F76826" w:rsidRPr="00F76826" w:rsidRDefault="00F76826" w:rsidP="00F76826">
            <w:pPr>
              <w:rPr>
                <w:rFonts w:ascii="Calibri" w:eastAsia="Times New Roman" w:hAnsi="Calibri" w:cs="Times New Roman"/>
                <w:sz w:val="20"/>
                <w:szCs w:val="20"/>
              </w:rPr>
            </w:pPr>
            <w:r>
              <w:rPr>
                <w:rFonts w:ascii="Calibri" w:eastAsia="Times New Roman" w:hAnsi="Calibri" w:cs="Times New Roman"/>
                <w:sz w:val="20"/>
                <w:szCs w:val="20"/>
              </w:rPr>
              <w:t>Table 7.1</w:t>
            </w:r>
            <w:r w:rsidRPr="00F76826">
              <w:rPr>
                <w:rFonts w:ascii="Calibri" w:eastAsia="Times New Roman" w:hAnsi="Calibri" w:cs="Times New Roman"/>
                <w:sz w:val="20"/>
                <w:szCs w:val="20"/>
              </w:rPr>
              <w:t> </w:t>
            </w:r>
          </w:p>
        </w:tc>
        <w:tc>
          <w:tcPr>
            <w:tcW w:w="985" w:type="dxa"/>
            <w:vMerge w:val="restart"/>
            <w:hideMark/>
          </w:tcPr>
          <w:p w:rsidR="00F76826" w:rsidRPr="00F76826" w:rsidRDefault="00F76826" w:rsidP="00F768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Pulaski County</w:t>
            </w:r>
          </w:p>
        </w:tc>
        <w:tc>
          <w:tcPr>
            <w:tcW w:w="985" w:type="dxa"/>
            <w:vMerge w:val="restart"/>
            <w:hideMark/>
          </w:tcPr>
          <w:p w:rsidR="00F76826" w:rsidRPr="00F76826" w:rsidRDefault="00F76826" w:rsidP="00F768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Missouri</w:t>
            </w:r>
          </w:p>
        </w:tc>
        <w:tc>
          <w:tcPr>
            <w:tcW w:w="1087" w:type="dxa"/>
            <w:vMerge w:val="restart"/>
            <w:noWrap/>
            <w:hideMark/>
          </w:tcPr>
          <w:p w:rsidR="00F76826" w:rsidRPr="00F76826" w:rsidRDefault="00F76826" w:rsidP="00F768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Rank of 115</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359" w:type="dxa"/>
            <w:vMerge/>
            <w:hideMark/>
          </w:tcPr>
          <w:p w:rsidR="00F76826" w:rsidRPr="00F76826" w:rsidRDefault="00F76826" w:rsidP="00F76826">
            <w:pPr>
              <w:rPr>
                <w:rFonts w:ascii="Calibri" w:eastAsia="Times New Roman" w:hAnsi="Calibri" w:cs="Times New Roman"/>
                <w:sz w:val="20"/>
                <w:szCs w:val="20"/>
              </w:rPr>
            </w:pPr>
          </w:p>
        </w:tc>
        <w:tc>
          <w:tcPr>
            <w:tcW w:w="985" w:type="dxa"/>
            <w:vMerge/>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985" w:type="dxa"/>
            <w:vMerge/>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087" w:type="dxa"/>
            <w:vMerge/>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4329" w:type="dxa"/>
            <w:gridSpan w:val="3"/>
            <w:hideMark/>
          </w:tcPr>
          <w:p w:rsidR="00F76826" w:rsidRPr="00F76826" w:rsidRDefault="00F76826" w:rsidP="00F76826">
            <w:pPr>
              <w:rPr>
                <w:rFonts w:ascii="Calibri" w:eastAsia="Times New Roman" w:hAnsi="Calibri" w:cs="Times New Roman"/>
                <w:sz w:val="20"/>
                <w:szCs w:val="20"/>
              </w:rPr>
            </w:pPr>
            <w:r w:rsidRPr="00F76826">
              <w:rPr>
                <w:rFonts w:ascii="Calibri" w:eastAsia="Times New Roman" w:hAnsi="Calibri" w:cs="Times New Roman"/>
                <w:sz w:val="20"/>
                <w:szCs w:val="20"/>
              </w:rPr>
              <w:t>Health Outcomes</w:t>
            </w:r>
          </w:p>
        </w:tc>
        <w:tc>
          <w:tcPr>
            <w:tcW w:w="1087"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52</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329" w:type="dxa"/>
            <w:gridSpan w:val="3"/>
            <w:hideMark/>
          </w:tcPr>
          <w:p w:rsidR="00F76826" w:rsidRPr="00F76826" w:rsidRDefault="00F76826" w:rsidP="00F76826">
            <w:pPr>
              <w:rPr>
                <w:rFonts w:ascii="Calibri" w:eastAsia="Times New Roman" w:hAnsi="Calibri" w:cs="Times New Roman"/>
                <w:sz w:val="20"/>
                <w:szCs w:val="20"/>
              </w:rPr>
            </w:pPr>
            <w:r w:rsidRPr="00F76826">
              <w:rPr>
                <w:rFonts w:ascii="Calibri" w:eastAsia="Times New Roman" w:hAnsi="Calibri" w:cs="Times New Roman"/>
                <w:sz w:val="20"/>
                <w:szCs w:val="20"/>
              </w:rPr>
              <w:t>Mortality</w:t>
            </w:r>
          </w:p>
        </w:tc>
        <w:tc>
          <w:tcPr>
            <w:tcW w:w="1087"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52</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0" w:history="1">
              <w:r w:rsidR="00F76826" w:rsidRPr="00F76826">
                <w:rPr>
                  <w:rFonts w:ascii="Calibri" w:eastAsia="Times New Roman" w:hAnsi="Calibri" w:cs="Times New Roman"/>
                  <w:sz w:val="20"/>
                </w:rPr>
                <w:t>Premature death</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8,707</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8,112</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329" w:type="dxa"/>
            <w:gridSpan w:val="3"/>
            <w:hideMark/>
          </w:tcPr>
          <w:p w:rsidR="00F76826" w:rsidRPr="00F76826" w:rsidRDefault="00F76826" w:rsidP="00F76826">
            <w:pPr>
              <w:rPr>
                <w:rFonts w:ascii="Calibri" w:eastAsia="Times New Roman" w:hAnsi="Calibri" w:cs="Times New Roman"/>
                <w:sz w:val="20"/>
                <w:szCs w:val="20"/>
              </w:rPr>
            </w:pPr>
            <w:r w:rsidRPr="00F76826">
              <w:rPr>
                <w:rFonts w:ascii="Calibri" w:eastAsia="Times New Roman" w:hAnsi="Calibri" w:cs="Times New Roman"/>
                <w:sz w:val="20"/>
                <w:szCs w:val="20"/>
              </w:rPr>
              <w:t>Morbidity</w:t>
            </w:r>
          </w:p>
        </w:tc>
        <w:tc>
          <w:tcPr>
            <w:tcW w:w="1087"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48</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1" w:history="1">
              <w:r w:rsidR="00F76826" w:rsidRPr="00F76826">
                <w:rPr>
                  <w:rFonts w:ascii="Calibri" w:eastAsia="Times New Roman" w:hAnsi="Calibri" w:cs="Times New Roman"/>
                  <w:sz w:val="20"/>
                </w:rPr>
                <w:t>Poor or fair health</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21%</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16%</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2" w:history="1">
              <w:r w:rsidR="00F76826" w:rsidRPr="00F76826">
                <w:rPr>
                  <w:rFonts w:ascii="Calibri" w:eastAsia="Times New Roman" w:hAnsi="Calibri" w:cs="Times New Roman"/>
                  <w:sz w:val="20"/>
                </w:rPr>
                <w:t>Poor physical health days</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3.9</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3.7</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3" w:history="1">
              <w:r w:rsidR="00F76826" w:rsidRPr="00F76826">
                <w:rPr>
                  <w:rFonts w:ascii="Calibri" w:eastAsia="Times New Roman" w:hAnsi="Calibri" w:cs="Times New Roman"/>
                  <w:sz w:val="20"/>
                </w:rPr>
                <w:t>Poor mental health days</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3.3</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3.6</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4" w:history="1">
              <w:r w:rsidR="00F76826" w:rsidRPr="00F76826">
                <w:rPr>
                  <w:rFonts w:ascii="Calibri" w:eastAsia="Times New Roman" w:hAnsi="Calibri" w:cs="Times New Roman"/>
                  <w:sz w:val="20"/>
                </w:rPr>
                <w:t>Low birthweight</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7.20%</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8.00%</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4329" w:type="dxa"/>
            <w:gridSpan w:val="3"/>
            <w:hideMark/>
          </w:tcPr>
          <w:p w:rsidR="00F76826" w:rsidRPr="00F76826" w:rsidRDefault="00F76826" w:rsidP="00F76826">
            <w:pPr>
              <w:rPr>
                <w:rFonts w:ascii="Calibri" w:eastAsia="Times New Roman" w:hAnsi="Calibri" w:cs="Times New Roman"/>
                <w:sz w:val="20"/>
                <w:szCs w:val="20"/>
              </w:rPr>
            </w:pPr>
            <w:r w:rsidRPr="00F76826">
              <w:rPr>
                <w:rFonts w:ascii="Calibri" w:eastAsia="Times New Roman" w:hAnsi="Calibri" w:cs="Times New Roman"/>
                <w:sz w:val="20"/>
                <w:szCs w:val="20"/>
              </w:rPr>
              <w:t>Health Factors</w:t>
            </w:r>
          </w:p>
        </w:tc>
        <w:tc>
          <w:tcPr>
            <w:tcW w:w="1087"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89</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329" w:type="dxa"/>
            <w:gridSpan w:val="3"/>
            <w:hideMark/>
          </w:tcPr>
          <w:p w:rsidR="00F76826" w:rsidRPr="00F76826" w:rsidRDefault="00F76826" w:rsidP="00F76826">
            <w:pPr>
              <w:rPr>
                <w:rFonts w:ascii="Calibri" w:eastAsia="Times New Roman" w:hAnsi="Calibri" w:cs="Times New Roman"/>
                <w:sz w:val="20"/>
                <w:szCs w:val="20"/>
              </w:rPr>
            </w:pPr>
            <w:r w:rsidRPr="00F76826">
              <w:rPr>
                <w:rFonts w:ascii="Calibri" w:eastAsia="Times New Roman" w:hAnsi="Calibri" w:cs="Times New Roman"/>
                <w:sz w:val="20"/>
                <w:szCs w:val="20"/>
              </w:rPr>
              <w:t>Health Behaviors</w:t>
            </w:r>
          </w:p>
        </w:tc>
        <w:tc>
          <w:tcPr>
            <w:tcW w:w="1087"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109</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5" w:history="1">
              <w:r w:rsidR="00F76826" w:rsidRPr="00F76826">
                <w:rPr>
                  <w:rFonts w:ascii="Calibri" w:eastAsia="Times New Roman" w:hAnsi="Calibri" w:cs="Times New Roman"/>
                  <w:sz w:val="20"/>
                </w:rPr>
                <w:t>Adult smoking</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30%</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25%</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6" w:history="1">
              <w:r w:rsidR="00F76826" w:rsidRPr="00F76826">
                <w:rPr>
                  <w:rFonts w:ascii="Calibri" w:eastAsia="Times New Roman" w:hAnsi="Calibri" w:cs="Times New Roman"/>
                  <w:sz w:val="20"/>
                </w:rPr>
                <w:t>Adult obesity</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32%</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28%</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7" w:history="1">
              <w:r w:rsidR="00F76826" w:rsidRPr="00F76826">
                <w:rPr>
                  <w:rFonts w:ascii="Calibri" w:eastAsia="Times New Roman" w:hAnsi="Calibri" w:cs="Times New Roman"/>
                  <w:sz w:val="20"/>
                </w:rPr>
                <w:t>Binge drinking</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13%</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16%</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8" w:history="1">
              <w:r w:rsidR="00F76826" w:rsidRPr="00F76826">
                <w:rPr>
                  <w:rFonts w:ascii="Calibri" w:eastAsia="Times New Roman" w:hAnsi="Calibri" w:cs="Times New Roman"/>
                  <w:sz w:val="20"/>
                </w:rPr>
                <w:t>Motor vehicle crash death rate</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20</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20</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29" w:history="1">
              <w:r w:rsidR="00F76826" w:rsidRPr="00F76826">
                <w:rPr>
                  <w:rFonts w:ascii="Calibri" w:eastAsia="Times New Roman" w:hAnsi="Calibri" w:cs="Times New Roman"/>
                  <w:sz w:val="20"/>
                </w:rPr>
                <w:t>Chlamydia rate</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659</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399</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0" w:history="1">
              <w:r w:rsidR="00F76826" w:rsidRPr="00F76826">
                <w:rPr>
                  <w:rFonts w:ascii="Calibri" w:eastAsia="Times New Roman" w:hAnsi="Calibri" w:cs="Times New Roman"/>
                  <w:sz w:val="20"/>
                </w:rPr>
                <w:t>Teen birth rate</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41</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45</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4329" w:type="dxa"/>
            <w:gridSpan w:val="3"/>
            <w:hideMark/>
          </w:tcPr>
          <w:p w:rsidR="00F76826" w:rsidRPr="00F76826" w:rsidRDefault="00F76826" w:rsidP="00F76826">
            <w:pPr>
              <w:rPr>
                <w:rFonts w:ascii="Calibri" w:eastAsia="Times New Roman" w:hAnsi="Calibri" w:cs="Times New Roman"/>
                <w:sz w:val="20"/>
                <w:szCs w:val="20"/>
              </w:rPr>
            </w:pPr>
            <w:r w:rsidRPr="00F76826">
              <w:rPr>
                <w:rFonts w:ascii="Calibri" w:eastAsia="Times New Roman" w:hAnsi="Calibri" w:cs="Times New Roman"/>
                <w:sz w:val="20"/>
                <w:szCs w:val="20"/>
              </w:rPr>
              <w:t>Clinical Care</w:t>
            </w:r>
          </w:p>
        </w:tc>
        <w:tc>
          <w:tcPr>
            <w:tcW w:w="1087"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75</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1" w:history="1">
              <w:r w:rsidR="00F76826" w:rsidRPr="00F76826">
                <w:rPr>
                  <w:rFonts w:ascii="Calibri" w:eastAsia="Times New Roman" w:hAnsi="Calibri" w:cs="Times New Roman"/>
                  <w:sz w:val="20"/>
                </w:rPr>
                <w:t>Uninsured adults</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18%</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14%</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494"/>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2" w:history="1">
              <w:r w:rsidR="00F76826" w:rsidRPr="00F76826">
                <w:rPr>
                  <w:rFonts w:ascii="Calibri" w:eastAsia="Times New Roman" w:hAnsi="Calibri" w:cs="Times New Roman"/>
                  <w:sz w:val="20"/>
                </w:rPr>
                <w:t>Primary care provider rate</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45</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99</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3" w:history="1">
              <w:r w:rsidR="00F76826" w:rsidRPr="00F76826">
                <w:rPr>
                  <w:rFonts w:ascii="Calibri" w:eastAsia="Times New Roman" w:hAnsi="Calibri" w:cs="Times New Roman"/>
                  <w:sz w:val="20"/>
                </w:rPr>
                <w:t>Preventable hospital stays</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80</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85</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4" w:history="1">
              <w:r w:rsidR="00F76826" w:rsidRPr="00F76826">
                <w:rPr>
                  <w:rFonts w:ascii="Calibri" w:eastAsia="Times New Roman" w:hAnsi="Calibri" w:cs="Times New Roman"/>
                  <w:sz w:val="20"/>
                </w:rPr>
                <w:t>Diabetic screening</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74%</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81%</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5" w:history="1">
              <w:r w:rsidR="00F76826" w:rsidRPr="00F76826">
                <w:rPr>
                  <w:rFonts w:ascii="Calibri" w:eastAsia="Times New Roman" w:hAnsi="Calibri" w:cs="Times New Roman"/>
                  <w:sz w:val="20"/>
                </w:rPr>
                <w:t>Hospice use</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21%</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31%</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4329" w:type="dxa"/>
            <w:gridSpan w:val="3"/>
            <w:hideMark/>
          </w:tcPr>
          <w:p w:rsidR="00F76826" w:rsidRPr="00F76826" w:rsidRDefault="00F76826" w:rsidP="00F76826">
            <w:pPr>
              <w:rPr>
                <w:rFonts w:ascii="Calibri" w:eastAsia="Times New Roman" w:hAnsi="Calibri" w:cs="Times New Roman"/>
                <w:sz w:val="20"/>
                <w:szCs w:val="20"/>
              </w:rPr>
            </w:pPr>
            <w:r w:rsidRPr="00F76826">
              <w:rPr>
                <w:rFonts w:ascii="Calibri" w:eastAsia="Times New Roman" w:hAnsi="Calibri" w:cs="Times New Roman"/>
                <w:sz w:val="20"/>
                <w:szCs w:val="20"/>
              </w:rPr>
              <w:t>Social &amp; Economic Factors</w:t>
            </w:r>
          </w:p>
        </w:tc>
        <w:tc>
          <w:tcPr>
            <w:tcW w:w="1087"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34</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6" w:history="1">
              <w:r w:rsidR="00F76826" w:rsidRPr="00F76826">
                <w:rPr>
                  <w:rFonts w:ascii="Calibri" w:eastAsia="Times New Roman" w:hAnsi="Calibri" w:cs="Times New Roman"/>
                  <w:sz w:val="20"/>
                </w:rPr>
                <w:t>High school graduation</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82%</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81%</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7" w:history="1">
              <w:r w:rsidR="00F76826" w:rsidRPr="00F76826">
                <w:rPr>
                  <w:rFonts w:ascii="Calibri" w:eastAsia="Times New Roman" w:hAnsi="Calibri" w:cs="Times New Roman"/>
                  <w:sz w:val="20"/>
                </w:rPr>
                <w:t>College degrees</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19%</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22%</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8" w:history="1">
              <w:r w:rsidR="00F76826" w:rsidRPr="00F76826">
                <w:rPr>
                  <w:rFonts w:ascii="Calibri" w:eastAsia="Times New Roman" w:hAnsi="Calibri" w:cs="Times New Roman"/>
                  <w:sz w:val="20"/>
                </w:rPr>
                <w:t>Unemployment</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6%</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6%</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39" w:history="1">
              <w:r w:rsidR="00F76826" w:rsidRPr="00F76826">
                <w:rPr>
                  <w:rFonts w:ascii="Calibri" w:eastAsia="Times New Roman" w:hAnsi="Calibri" w:cs="Times New Roman"/>
                  <w:sz w:val="20"/>
                </w:rPr>
                <w:t>Children in poverty</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17%</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18%</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40" w:history="1">
              <w:r w:rsidR="00F76826" w:rsidRPr="00F76826">
                <w:rPr>
                  <w:rFonts w:ascii="Calibri" w:eastAsia="Times New Roman" w:hAnsi="Calibri" w:cs="Times New Roman"/>
                  <w:sz w:val="20"/>
                </w:rPr>
                <w:t>Income inequality</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38</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45</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494"/>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41" w:history="1">
              <w:r w:rsidR="00F76826" w:rsidRPr="00F76826">
                <w:rPr>
                  <w:rFonts w:ascii="Calibri" w:eastAsia="Times New Roman" w:hAnsi="Calibri" w:cs="Times New Roman"/>
                  <w:sz w:val="20"/>
                </w:rPr>
                <w:t>Inadequate social support</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20%</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20%</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42" w:history="1">
              <w:r w:rsidR="00F76826" w:rsidRPr="00F76826">
                <w:rPr>
                  <w:rFonts w:ascii="Calibri" w:eastAsia="Times New Roman" w:hAnsi="Calibri" w:cs="Times New Roman"/>
                  <w:sz w:val="20"/>
                </w:rPr>
                <w:t>Single-parent households</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10%</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9%</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43" w:history="1">
              <w:r w:rsidR="00F76826" w:rsidRPr="00F76826">
                <w:rPr>
                  <w:rFonts w:ascii="Calibri" w:eastAsia="Times New Roman" w:hAnsi="Calibri" w:cs="Times New Roman"/>
                  <w:sz w:val="20"/>
                </w:rPr>
                <w:t>Violent crime rate</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436</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525</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329" w:type="dxa"/>
            <w:gridSpan w:val="3"/>
            <w:hideMark/>
          </w:tcPr>
          <w:p w:rsidR="00F76826" w:rsidRPr="00F76826" w:rsidRDefault="00F76826" w:rsidP="00F76826">
            <w:pPr>
              <w:rPr>
                <w:rFonts w:ascii="Calibri" w:eastAsia="Times New Roman" w:hAnsi="Calibri" w:cs="Times New Roman"/>
                <w:sz w:val="20"/>
                <w:szCs w:val="20"/>
              </w:rPr>
            </w:pPr>
            <w:r w:rsidRPr="00F76826">
              <w:rPr>
                <w:rFonts w:ascii="Calibri" w:eastAsia="Times New Roman" w:hAnsi="Calibri" w:cs="Times New Roman"/>
                <w:sz w:val="20"/>
                <w:szCs w:val="20"/>
              </w:rPr>
              <w:t>Physical Environment</w:t>
            </w:r>
          </w:p>
        </w:tc>
        <w:tc>
          <w:tcPr>
            <w:tcW w:w="1087"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20</w:t>
            </w:r>
          </w:p>
        </w:tc>
      </w:tr>
      <w:tr w:rsidR="00F76826" w:rsidRPr="00F76826" w:rsidTr="00F76826">
        <w:trPr>
          <w:trHeight w:val="494"/>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44" w:history="1">
              <w:r w:rsidR="00F76826" w:rsidRPr="00F76826">
                <w:rPr>
                  <w:rFonts w:ascii="Calibri" w:eastAsia="Times New Roman" w:hAnsi="Calibri" w:cs="Times New Roman"/>
                  <w:sz w:val="20"/>
                </w:rPr>
                <w:t>Air pollution-particulate matter days</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0</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45" w:history="1">
              <w:r w:rsidR="00F76826" w:rsidRPr="00F76826">
                <w:rPr>
                  <w:rFonts w:ascii="Calibri" w:eastAsia="Times New Roman" w:hAnsi="Calibri" w:cs="Times New Roman"/>
                  <w:sz w:val="20"/>
                </w:rPr>
                <w:t>Air pollution-ozone days</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0</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1</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46" w:history="1">
              <w:r w:rsidR="00F76826" w:rsidRPr="00F76826">
                <w:rPr>
                  <w:rFonts w:ascii="Calibri" w:eastAsia="Times New Roman" w:hAnsi="Calibri" w:cs="Times New Roman"/>
                  <w:sz w:val="20"/>
                </w:rPr>
                <w:t>Access to healthy foods</w:t>
              </w:r>
            </w:hyperlink>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50%</w:t>
            </w:r>
          </w:p>
        </w:tc>
        <w:tc>
          <w:tcPr>
            <w:tcW w:w="985" w:type="dxa"/>
            <w:hideMark/>
          </w:tcPr>
          <w:p w:rsidR="00F76826" w:rsidRPr="00F76826" w:rsidRDefault="00F76826" w:rsidP="00F76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35%</w:t>
            </w:r>
          </w:p>
        </w:tc>
        <w:tc>
          <w:tcPr>
            <w:tcW w:w="1087" w:type="dxa"/>
            <w:hideMark/>
          </w:tcPr>
          <w:p w:rsidR="00F76826" w:rsidRPr="00F76826" w:rsidRDefault="00F76826" w:rsidP="00F768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r w:rsidR="00F76826" w:rsidRPr="00F76826" w:rsidTr="00F7682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59" w:type="dxa"/>
            <w:hideMark/>
          </w:tcPr>
          <w:p w:rsidR="00F76826" w:rsidRPr="00F76826" w:rsidRDefault="00375B99" w:rsidP="00F76826">
            <w:pPr>
              <w:rPr>
                <w:rFonts w:ascii="Calibri" w:eastAsia="Times New Roman" w:hAnsi="Calibri" w:cs="Times New Roman"/>
                <w:sz w:val="20"/>
                <w:szCs w:val="20"/>
              </w:rPr>
            </w:pPr>
            <w:hyperlink r:id="rId47" w:history="1">
              <w:r w:rsidR="00F76826" w:rsidRPr="00F76826">
                <w:rPr>
                  <w:rFonts w:ascii="Calibri" w:eastAsia="Times New Roman" w:hAnsi="Calibri" w:cs="Times New Roman"/>
                  <w:sz w:val="20"/>
                </w:rPr>
                <w:t>Liquor store density</w:t>
              </w:r>
            </w:hyperlink>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0.9</w:t>
            </w:r>
          </w:p>
        </w:tc>
        <w:tc>
          <w:tcPr>
            <w:tcW w:w="985" w:type="dxa"/>
            <w:hideMark/>
          </w:tcPr>
          <w:p w:rsidR="00F76826" w:rsidRPr="00F76826" w:rsidRDefault="00F76826" w:rsidP="00F768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0.7</w:t>
            </w:r>
          </w:p>
        </w:tc>
        <w:tc>
          <w:tcPr>
            <w:tcW w:w="1087" w:type="dxa"/>
            <w:hideMark/>
          </w:tcPr>
          <w:p w:rsidR="00F76826" w:rsidRPr="00F76826" w:rsidRDefault="00F76826" w:rsidP="00F768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F76826">
              <w:rPr>
                <w:rFonts w:ascii="Calibri" w:eastAsia="Times New Roman" w:hAnsi="Calibri" w:cs="Times New Roman"/>
                <w:sz w:val="20"/>
                <w:szCs w:val="20"/>
              </w:rPr>
              <w:t> </w:t>
            </w:r>
          </w:p>
        </w:tc>
      </w:tr>
    </w:tbl>
    <w:p w:rsidR="00F76826" w:rsidRPr="00B47370" w:rsidRDefault="00F76826" w:rsidP="00F76826">
      <w:pPr>
        <w:pStyle w:val="NoSpacing"/>
        <w:rPr>
          <w:sz w:val="20"/>
          <w:szCs w:val="20"/>
        </w:rPr>
      </w:pPr>
      <w:r>
        <w:rPr>
          <w:sz w:val="20"/>
          <w:szCs w:val="20"/>
        </w:rPr>
        <w:t>Table 7.1-Source: 2010 County Health Rankings</w:t>
      </w:r>
    </w:p>
    <w:p w:rsidR="00F76826" w:rsidRPr="00B47370" w:rsidRDefault="00F76826" w:rsidP="00F76826">
      <w:pPr>
        <w:pStyle w:val="NoSpacing"/>
        <w:rPr>
          <w:sz w:val="20"/>
          <w:szCs w:val="20"/>
        </w:rPr>
      </w:pPr>
      <w:r w:rsidRPr="00B47370">
        <w:rPr>
          <w:sz w:val="20"/>
          <w:szCs w:val="20"/>
        </w:rPr>
        <w:t>* 90th percentile, i.e., only 10% are better</w:t>
      </w:r>
      <w:r w:rsidRPr="00B47370">
        <w:rPr>
          <w:sz w:val="20"/>
          <w:szCs w:val="20"/>
        </w:rPr>
        <w:br/>
        <w:t xml:space="preserve">Note: Blank values reflect unreliable or missing data </w:t>
      </w:r>
    </w:p>
    <w:p w:rsidR="00F76826" w:rsidRDefault="00F76826" w:rsidP="009335DC">
      <w:pPr>
        <w:pStyle w:val="NoSpacing"/>
        <w:rPr>
          <w:b/>
        </w:rPr>
      </w:pPr>
    </w:p>
    <w:p w:rsidR="00F76826" w:rsidRDefault="00F76826" w:rsidP="009335DC">
      <w:pPr>
        <w:pStyle w:val="NoSpacing"/>
        <w:rPr>
          <w:b/>
        </w:rPr>
      </w:pPr>
    </w:p>
    <w:p w:rsidR="002114FF" w:rsidRDefault="002114FF" w:rsidP="009335DC">
      <w:pPr>
        <w:pStyle w:val="NoSpacing"/>
        <w:rPr>
          <w:b/>
        </w:rPr>
      </w:pPr>
      <w:r>
        <w:rPr>
          <w:b/>
        </w:rPr>
        <w:t>Chronic Disease Risk Factors:</w:t>
      </w:r>
    </w:p>
    <w:p w:rsidR="002114FF" w:rsidRDefault="00897FF7" w:rsidP="009335DC">
      <w:pPr>
        <w:pStyle w:val="NoSpacing"/>
      </w:pPr>
      <w:r>
        <w:t>Chronic Disease risk factors are a great concern in Pulaski County.  For the period ending 2008, the leading causes of death for the county were:</w:t>
      </w:r>
    </w:p>
    <w:p w:rsidR="00897FF7" w:rsidRDefault="00897FF7" w:rsidP="00897FF7">
      <w:pPr>
        <w:pStyle w:val="NoSpacing"/>
        <w:numPr>
          <w:ilvl w:val="0"/>
          <w:numId w:val="5"/>
        </w:numPr>
      </w:pPr>
      <w:r>
        <w:t>Heart Disease</w:t>
      </w:r>
    </w:p>
    <w:p w:rsidR="00897FF7" w:rsidRDefault="00897FF7" w:rsidP="00897FF7">
      <w:pPr>
        <w:pStyle w:val="NoSpacing"/>
        <w:numPr>
          <w:ilvl w:val="0"/>
          <w:numId w:val="5"/>
        </w:numPr>
      </w:pPr>
      <w:r>
        <w:t>Cancer</w:t>
      </w:r>
    </w:p>
    <w:p w:rsidR="00897FF7" w:rsidRDefault="00897FF7" w:rsidP="00897FF7">
      <w:pPr>
        <w:pStyle w:val="NoSpacing"/>
        <w:numPr>
          <w:ilvl w:val="0"/>
          <w:numId w:val="5"/>
        </w:numPr>
      </w:pPr>
      <w:r>
        <w:t>Stroke/Other Cerebrovascular Diseases</w:t>
      </w:r>
    </w:p>
    <w:p w:rsidR="00897FF7" w:rsidRDefault="00897FF7" w:rsidP="00897FF7">
      <w:pPr>
        <w:pStyle w:val="NoSpacing"/>
        <w:numPr>
          <w:ilvl w:val="0"/>
          <w:numId w:val="5"/>
        </w:numPr>
      </w:pPr>
      <w:r>
        <w:t>Chronic Lower Respiratory Disease</w:t>
      </w:r>
    </w:p>
    <w:p w:rsidR="00897FF7" w:rsidRDefault="00897FF7" w:rsidP="00897FF7">
      <w:pPr>
        <w:pStyle w:val="NoSpacing"/>
        <w:numPr>
          <w:ilvl w:val="0"/>
          <w:numId w:val="5"/>
        </w:numPr>
      </w:pPr>
      <w:r>
        <w:t>Unintentional Injuries</w:t>
      </w:r>
    </w:p>
    <w:p w:rsidR="00E23090" w:rsidRDefault="00E23090" w:rsidP="00E23090">
      <w:pPr>
        <w:pStyle w:val="NoSpacing"/>
        <w:ind w:left="720"/>
      </w:pPr>
    </w:p>
    <w:p w:rsidR="00E23090" w:rsidRDefault="00E23090" w:rsidP="00E23090">
      <w:pPr>
        <w:pStyle w:val="NoSpacing"/>
      </w:pPr>
      <w:r>
        <w:t>As Table 7.2 below indicates, Pulaski County has a higher rate of chronic disease risk factors than that of the state rate.</w:t>
      </w:r>
    </w:p>
    <w:p w:rsidR="00897FF7" w:rsidRDefault="00897FF7" w:rsidP="009335DC">
      <w:pPr>
        <w:pStyle w:val="NoSpacing"/>
      </w:pPr>
      <w:r>
        <w:t xml:space="preserve"> </w:t>
      </w:r>
    </w:p>
    <w:tbl>
      <w:tblPr>
        <w:tblStyle w:val="MediumGrid3-Accent1"/>
        <w:tblW w:w="9375" w:type="dxa"/>
        <w:jc w:val="center"/>
        <w:tblLook w:val="04A0" w:firstRow="1" w:lastRow="0" w:firstColumn="1" w:lastColumn="0" w:noHBand="0" w:noVBand="1"/>
      </w:tblPr>
      <w:tblGrid>
        <w:gridCol w:w="5654"/>
        <w:gridCol w:w="1428"/>
        <w:gridCol w:w="1318"/>
        <w:gridCol w:w="975"/>
      </w:tblGrid>
      <w:tr w:rsidR="00897FF7" w:rsidRPr="00897FF7" w:rsidTr="00E230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5" w:type="dxa"/>
            <w:gridSpan w:val="4"/>
            <w:hideMark/>
          </w:tcPr>
          <w:p w:rsidR="00897FF7" w:rsidRPr="00897FF7" w:rsidRDefault="00E23090" w:rsidP="00E23090">
            <w:pPr>
              <w:rPr>
                <w:rFonts w:ascii="Times New Roman" w:eastAsia="Times New Roman" w:hAnsi="Times New Roman" w:cs="Times New Roman"/>
                <w:sz w:val="24"/>
                <w:szCs w:val="24"/>
              </w:rPr>
            </w:pPr>
            <w:r>
              <w:rPr>
                <w:rFonts w:ascii="Times New Roman" w:eastAsia="Times New Roman" w:hAnsi="Times New Roman" w:cs="Times New Roman"/>
                <w:b w:val="0"/>
                <w:bCs w:val="0"/>
                <w:sz w:val="24"/>
                <w:szCs w:val="24"/>
              </w:rPr>
              <w:t xml:space="preserve">Health Status Indicators          </w:t>
            </w:r>
            <w:r w:rsidR="00897FF7" w:rsidRPr="00897FF7">
              <w:rPr>
                <w:rFonts w:ascii="Times New Roman" w:eastAsia="Times New Roman" w:hAnsi="Times New Roman" w:cs="Times New Roman"/>
                <w:b w:val="0"/>
                <w:bCs w:val="0"/>
                <w:sz w:val="24"/>
                <w:szCs w:val="24"/>
              </w:rPr>
              <w:t xml:space="preserve"> </w:t>
            </w:r>
            <w:r>
              <w:rPr>
                <w:rFonts w:ascii="Times New Roman" w:eastAsia="Times New Roman" w:hAnsi="Times New Roman" w:cs="Times New Roman"/>
                <w:b w:val="0"/>
                <w:bCs w:val="0"/>
                <w:sz w:val="24"/>
                <w:szCs w:val="24"/>
              </w:rPr>
              <w:t xml:space="preserve">                                            Pulaski Co.                              State</w:t>
            </w:r>
          </w:p>
        </w:tc>
      </w:tr>
      <w:tr w:rsidR="00897FF7" w:rsidRPr="00897FF7" w:rsidTr="00E230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Pct Reporting Health as </w:t>
            </w:r>
            <w:r w:rsidRPr="00897FF7">
              <w:rPr>
                <w:rFonts w:ascii="Times New Roman" w:eastAsia="Times New Roman" w:hAnsi="Times New Roman" w:cs="Times New Roman"/>
                <w:i/>
                <w:iCs/>
                <w:sz w:val="20"/>
                <w:szCs w:val="20"/>
              </w:rPr>
              <w:t>Fair or Poor</w:t>
            </w:r>
            <w:r w:rsidR="00E23090">
              <w:rPr>
                <w:rFonts w:ascii="Times New Roman" w:eastAsia="Times New Roman" w:hAnsi="Times New Roman" w:cs="Times New Roman"/>
                <w:i/>
                <w:iCs/>
                <w:sz w:val="20"/>
                <w:szCs w:val="20"/>
              </w:rPr>
              <w:t>, 2010</w:t>
            </w:r>
            <w:r w:rsidRPr="00897FF7">
              <w:rPr>
                <w:rFonts w:ascii="Times New Roman" w:eastAsia="Times New Roman" w:hAnsi="Times New Roman" w:cs="Times New Roman"/>
                <w:sz w:val="20"/>
                <w:szCs w:val="20"/>
              </w:rPr>
              <w:t xml:space="preserve"> </w:t>
            </w:r>
          </w:p>
        </w:tc>
        <w:tc>
          <w:tcPr>
            <w:tcW w:w="975" w:type="dxa"/>
            <w:hideMark/>
          </w:tcPr>
          <w:p w:rsidR="00897FF7" w:rsidRPr="00897FF7" w:rsidRDefault="00E23090"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0"/>
                <w:szCs w:val="20"/>
              </w:rPr>
              <w:t>21.0</w:t>
            </w:r>
            <w:r w:rsidR="00897FF7" w:rsidRPr="00897FF7">
              <w:rPr>
                <w:rFonts w:ascii="Times New Roman" w:eastAsia="Times New Roman" w:hAnsi="Times New Roman" w:cs="Times New Roman"/>
                <w:sz w:val="20"/>
                <w:szCs w:val="20"/>
              </w:rPr>
              <w:t xml:space="preserve"> </w:t>
            </w:r>
          </w:p>
        </w:tc>
        <w:tc>
          <w:tcPr>
            <w:tcW w:w="900" w:type="dxa"/>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E23090"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0"/>
                <w:szCs w:val="20"/>
              </w:rPr>
              <w:t>16.0</w:t>
            </w:r>
            <w:r w:rsidR="00897FF7" w:rsidRPr="00897FF7">
              <w:rPr>
                <w:rFonts w:ascii="Times New Roman" w:eastAsia="Times New Roman" w:hAnsi="Times New Roman" w:cs="Times New Roman"/>
                <w:sz w:val="20"/>
                <w:szCs w:val="20"/>
              </w:rPr>
              <w:t xml:space="preserve"> </w:t>
            </w:r>
          </w:p>
        </w:tc>
      </w:tr>
      <w:tr w:rsidR="00897FF7" w:rsidRPr="00897FF7" w:rsidTr="00E2309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Pct with no health care coverage </w:t>
            </w:r>
            <w:r w:rsidR="00E23090">
              <w:rPr>
                <w:rFonts w:ascii="Times New Roman" w:eastAsia="Times New Roman" w:hAnsi="Times New Roman" w:cs="Times New Roman"/>
                <w:sz w:val="20"/>
                <w:szCs w:val="20"/>
              </w:rPr>
              <w:t>, 2010</w:t>
            </w:r>
          </w:p>
        </w:tc>
        <w:tc>
          <w:tcPr>
            <w:tcW w:w="975" w:type="dxa"/>
            <w:hideMark/>
          </w:tcPr>
          <w:p w:rsidR="00897FF7" w:rsidRPr="00897FF7" w:rsidRDefault="00E23090"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0"/>
                <w:szCs w:val="20"/>
              </w:rPr>
              <w:t>18.0</w:t>
            </w:r>
            <w:r w:rsidR="00897FF7" w:rsidRPr="00897FF7">
              <w:rPr>
                <w:rFonts w:ascii="Times New Roman" w:eastAsia="Times New Roman" w:hAnsi="Times New Roman" w:cs="Times New Roman"/>
                <w:sz w:val="20"/>
                <w:szCs w:val="20"/>
              </w:rPr>
              <w:t xml:space="preserve"> </w:t>
            </w:r>
          </w:p>
        </w:tc>
        <w:tc>
          <w:tcPr>
            <w:tcW w:w="900" w:type="dxa"/>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E23090"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0"/>
                <w:szCs w:val="20"/>
              </w:rPr>
              <w:t>14.0</w:t>
            </w:r>
          </w:p>
        </w:tc>
      </w:tr>
      <w:tr w:rsidR="00897FF7" w:rsidRPr="00897FF7" w:rsidTr="00E230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b w:val="0"/>
                <w:bCs w:val="0"/>
                <w:sz w:val="20"/>
                <w:szCs w:val="20"/>
              </w:rPr>
              <w:t>Prevalence of Health Problems</w:t>
            </w:r>
            <w:r w:rsidR="00E23090">
              <w:rPr>
                <w:rFonts w:ascii="Times New Roman" w:eastAsia="Times New Roman" w:hAnsi="Times New Roman" w:cs="Times New Roman"/>
                <w:b w:val="0"/>
                <w:bCs w:val="0"/>
                <w:sz w:val="20"/>
                <w:szCs w:val="20"/>
              </w:rPr>
              <w:t>, 2003</w:t>
            </w:r>
            <w:r w:rsidRPr="00897FF7">
              <w:rPr>
                <w:rFonts w:ascii="Times New Roman" w:eastAsia="Times New Roman" w:hAnsi="Times New Roman" w:cs="Times New Roman"/>
                <w:b w:val="0"/>
                <w:bCs w:val="0"/>
                <w:sz w:val="20"/>
                <w:szCs w:val="20"/>
              </w:rPr>
              <w:t xml:space="preserve"> </w:t>
            </w:r>
          </w:p>
        </w:tc>
      </w:tr>
      <w:tr w:rsidR="00897FF7" w:rsidRPr="00897FF7" w:rsidTr="00E2309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Current Smoker </w:t>
            </w:r>
          </w:p>
        </w:tc>
        <w:tc>
          <w:tcPr>
            <w:tcW w:w="975" w:type="dxa"/>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30.9 </w:t>
            </w:r>
          </w:p>
        </w:tc>
        <w:tc>
          <w:tcPr>
            <w:tcW w:w="900" w:type="dxa"/>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26.5 </w:t>
            </w:r>
          </w:p>
        </w:tc>
      </w:tr>
      <w:tr w:rsidR="00897FF7" w:rsidRPr="00897FF7" w:rsidTr="00E230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High Blood Pressure </w:t>
            </w:r>
          </w:p>
        </w:tc>
        <w:tc>
          <w:tcPr>
            <w:tcW w:w="975" w:type="dxa"/>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28.7 </w:t>
            </w:r>
          </w:p>
        </w:tc>
        <w:tc>
          <w:tcPr>
            <w:tcW w:w="900" w:type="dxa"/>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28.5 </w:t>
            </w:r>
          </w:p>
        </w:tc>
      </w:tr>
      <w:tr w:rsidR="00897FF7" w:rsidRPr="00897FF7" w:rsidTr="00E2309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High Cholesterol (35 years and older) </w:t>
            </w:r>
          </w:p>
        </w:tc>
        <w:tc>
          <w:tcPr>
            <w:tcW w:w="975" w:type="dxa"/>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44.5 </w:t>
            </w:r>
          </w:p>
        </w:tc>
        <w:tc>
          <w:tcPr>
            <w:tcW w:w="900" w:type="dxa"/>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37.3 </w:t>
            </w:r>
          </w:p>
        </w:tc>
      </w:tr>
      <w:tr w:rsidR="00897FF7" w:rsidRPr="00897FF7" w:rsidTr="00E230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Diabetes </w:t>
            </w:r>
          </w:p>
        </w:tc>
        <w:tc>
          <w:tcPr>
            <w:tcW w:w="975" w:type="dxa"/>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8.1 </w:t>
            </w:r>
          </w:p>
        </w:tc>
        <w:tc>
          <w:tcPr>
            <w:tcW w:w="900" w:type="dxa"/>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7.2 </w:t>
            </w:r>
          </w:p>
        </w:tc>
      </w:tr>
      <w:tr w:rsidR="00897FF7" w:rsidRPr="00897FF7" w:rsidTr="00E23090">
        <w:trPr>
          <w:jc w:val="center"/>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b w:val="0"/>
                <w:bCs w:val="0"/>
                <w:sz w:val="20"/>
                <w:szCs w:val="20"/>
              </w:rPr>
              <w:t xml:space="preserve">Mortality Rates Significantly Higher than the State </w:t>
            </w:r>
            <w:r w:rsidR="00E23090">
              <w:rPr>
                <w:rFonts w:ascii="Times New Roman" w:eastAsia="Times New Roman" w:hAnsi="Times New Roman" w:cs="Times New Roman"/>
                <w:b w:val="0"/>
                <w:bCs w:val="0"/>
                <w:sz w:val="20"/>
                <w:szCs w:val="20"/>
              </w:rPr>
              <w:t>, 2003</w:t>
            </w:r>
          </w:p>
        </w:tc>
      </w:tr>
      <w:tr w:rsidR="00897FF7" w:rsidRPr="00897FF7" w:rsidTr="00E230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Heart Disease </w:t>
            </w:r>
          </w:p>
        </w:tc>
        <w:tc>
          <w:tcPr>
            <w:tcW w:w="975" w:type="dxa"/>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346.1 </w:t>
            </w:r>
          </w:p>
        </w:tc>
        <w:tc>
          <w:tcPr>
            <w:tcW w:w="900" w:type="dxa"/>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298.0 </w:t>
            </w:r>
          </w:p>
        </w:tc>
      </w:tr>
      <w:tr w:rsidR="00897FF7" w:rsidRPr="00897FF7" w:rsidTr="00E2309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Lung Cancer </w:t>
            </w:r>
          </w:p>
        </w:tc>
        <w:tc>
          <w:tcPr>
            <w:tcW w:w="975" w:type="dxa"/>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80.9 </w:t>
            </w:r>
          </w:p>
        </w:tc>
        <w:tc>
          <w:tcPr>
            <w:tcW w:w="900" w:type="dxa"/>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64.3 </w:t>
            </w:r>
          </w:p>
        </w:tc>
      </w:tr>
      <w:tr w:rsidR="00897FF7" w:rsidRPr="00897FF7" w:rsidTr="00E230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Diabetes </w:t>
            </w:r>
          </w:p>
        </w:tc>
        <w:tc>
          <w:tcPr>
            <w:tcW w:w="975" w:type="dxa"/>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31.6 </w:t>
            </w:r>
          </w:p>
        </w:tc>
        <w:tc>
          <w:tcPr>
            <w:tcW w:w="900" w:type="dxa"/>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897FF7" w:rsidP="0089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24.1 </w:t>
            </w:r>
          </w:p>
        </w:tc>
      </w:tr>
      <w:tr w:rsidR="00897FF7" w:rsidRPr="00897FF7" w:rsidTr="00E2309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Smoking-Attributable </w:t>
            </w:r>
          </w:p>
        </w:tc>
        <w:tc>
          <w:tcPr>
            <w:tcW w:w="975" w:type="dxa"/>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202.8 </w:t>
            </w:r>
          </w:p>
        </w:tc>
        <w:tc>
          <w:tcPr>
            <w:tcW w:w="900" w:type="dxa"/>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  </w:t>
            </w:r>
          </w:p>
        </w:tc>
        <w:tc>
          <w:tcPr>
            <w:tcW w:w="0" w:type="auto"/>
            <w:hideMark/>
          </w:tcPr>
          <w:p w:rsidR="00897FF7" w:rsidRPr="00897FF7" w:rsidRDefault="00897FF7" w:rsidP="00897F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97FF7">
              <w:rPr>
                <w:rFonts w:ascii="Times New Roman" w:eastAsia="Times New Roman" w:hAnsi="Times New Roman" w:cs="Times New Roman"/>
                <w:sz w:val="20"/>
                <w:szCs w:val="20"/>
              </w:rPr>
              <w:t xml:space="preserve">171.7 </w:t>
            </w:r>
          </w:p>
        </w:tc>
      </w:tr>
      <w:tr w:rsidR="00897FF7" w:rsidRPr="00897FF7" w:rsidTr="00E230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897FF7" w:rsidRPr="00897FF7" w:rsidRDefault="00897FF7" w:rsidP="00897FF7">
            <w:pPr>
              <w:rPr>
                <w:rFonts w:ascii="Times New Roman" w:eastAsia="Times New Roman" w:hAnsi="Times New Roman" w:cs="Times New Roman"/>
                <w:sz w:val="24"/>
                <w:szCs w:val="24"/>
              </w:rPr>
            </w:pPr>
            <w:r w:rsidRPr="00897FF7">
              <w:rPr>
                <w:rFonts w:ascii="Times New Roman" w:eastAsia="Times New Roman" w:hAnsi="Times New Roman" w:cs="Times New Roman"/>
                <w:sz w:val="24"/>
                <w:szCs w:val="24"/>
              </w:rPr>
              <w:t xml:space="preserve">    </w:t>
            </w:r>
            <w:r w:rsidRPr="00897FF7">
              <w:rPr>
                <w:rFonts w:ascii="Times New Roman" w:eastAsia="Times New Roman" w:hAnsi="Times New Roman" w:cs="Times New Roman"/>
                <w:i/>
                <w:iCs/>
                <w:sz w:val="20"/>
                <w:szCs w:val="20"/>
              </w:rPr>
              <w:t xml:space="preserve">Note: mortality rates are age-adjusted and per 100,000 population </w:t>
            </w:r>
          </w:p>
        </w:tc>
      </w:tr>
    </w:tbl>
    <w:p w:rsidR="00897FF7" w:rsidRPr="00E23090" w:rsidRDefault="00E23090" w:rsidP="009335DC">
      <w:pPr>
        <w:pStyle w:val="NoSpacing"/>
        <w:rPr>
          <w:sz w:val="20"/>
          <w:szCs w:val="20"/>
        </w:rPr>
      </w:pPr>
      <w:r>
        <w:rPr>
          <w:sz w:val="20"/>
          <w:szCs w:val="20"/>
        </w:rPr>
        <w:t>Table 7.2-Source: UM Extension Social and Economic Profile</w:t>
      </w:r>
      <w:r w:rsidR="00B47370">
        <w:rPr>
          <w:sz w:val="20"/>
          <w:szCs w:val="20"/>
        </w:rPr>
        <w:t>, 2003; County Health Rankings, 2010</w:t>
      </w:r>
    </w:p>
    <w:p w:rsidR="00475533" w:rsidRDefault="00475533" w:rsidP="00F76826">
      <w:pPr>
        <w:pStyle w:val="NoSpacing"/>
      </w:pPr>
    </w:p>
    <w:p w:rsidR="00E1627E" w:rsidRDefault="00E1627E" w:rsidP="00F76826">
      <w:pPr>
        <w:pStyle w:val="NoSpacing"/>
      </w:pPr>
      <w:r>
        <w:t>In 2010, the Health Department partnered up to gain the ability to offer Chronic Disease Self-Management Workshops.  These workshops are designed to help people living with chronic conditions to better manage their conditions and are provided at no cost to residents.</w:t>
      </w:r>
    </w:p>
    <w:p w:rsidR="00E1627E" w:rsidRDefault="00E1627E" w:rsidP="00F76826">
      <w:pPr>
        <w:pStyle w:val="NoSpacing"/>
      </w:pPr>
    </w:p>
    <w:p w:rsidR="00476EEF" w:rsidRDefault="00476EEF" w:rsidP="00F76826">
      <w:pPr>
        <w:pStyle w:val="NoSpacing"/>
        <w:rPr>
          <w:b/>
        </w:rPr>
      </w:pPr>
    </w:p>
    <w:p w:rsidR="00476EEF" w:rsidRDefault="00476EEF" w:rsidP="00F76826">
      <w:pPr>
        <w:pStyle w:val="NoSpacing"/>
        <w:rPr>
          <w:b/>
        </w:rPr>
      </w:pPr>
    </w:p>
    <w:p w:rsidR="00F76826" w:rsidRDefault="00F76826" w:rsidP="00F76826">
      <w:pPr>
        <w:pStyle w:val="NoSpacing"/>
        <w:rPr>
          <w:b/>
        </w:rPr>
      </w:pPr>
      <w:r>
        <w:rPr>
          <w:b/>
        </w:rPr>
        <w:t>Disabilities:</w:t>
      </w:r>
    </w:p>
    <w:p w:rsidR="00F76826" w:rsidRDefault="002B40BA" w:rsidP="00F76826">
      <w:pPr>
        <w:pStyle w:val="NoSpacing"/>
      </w:pPr>
      <w:r>
        <w:t>Based on the 2000 census, there were 6,103 disabled people over the age of 5 and 1,695 disabled people over the age of 65.  Among the working aged population (16-64), 11.8 percent had a working disability compared with the state percentage of 10.8.</w:t>
      </w:r>
    </w:p>
    <w:p w:rsidR="002B40BA" w:rsidRDefault="002B40BA" w:rsidP="00F76826">
      <w:pPr>
        <w:pStyle w:val="NoSpacing"/>
      </w:pPr>
    </w:p>
    <w:p w:rsidR="002B40BA" w:rsidRDefault="002B40BA" w:rsidP="002B40BA">
      <w:pPr>
        <w:pStyle w:val="NoSpacing"/>
        <w:pBdr>
          <w:top w:val="single" w:sz="4" w:space="1" w:color="auto"/>
          <w:bottom w:val="single" w:sz="4" w:space="1" w:color="auto"/>
        </w:pBdr>
        <w:jc w:val="center"/>
        <w:rPr>
          <w:b/>
        </w:rPr>
      </w:pPr>
      <w:r>
        <w:rPr>
          <w:b/>
        </w:rPr>
        <w:t>Health Care System Indicators</w:t>
      </w:r>
    </w:p>
    <w:p w:rsidR="002B40BA" w:rsidRDefault="002B40BA" w:rsidP="002B40BA">
      <w:pPr>
        <w:pStyle w:val="NoSpacing"/>
        <w:jc w:val="center"/>
        <w:rPr>
          <w:b/>
        </w:rPr>
      </w:pPr>
    </w:p>
    <w:p w:rsidR="002B40BA" w:rsidRDefault="00E70D2C" w:rsidP="002B40BA">
      <w:pPr>
        <w:pStyle w:val="NoSpacing"/>
      </w:pPr>
      <w:r>
        <w:t xml:space="preserve">The health care system in Pulaski County has a somewhat lower rate than the state rate.  The county is a physician shortage area with only five health care clinics.  There are two additional clinics with only one physician, but with limited hours.  The only hospital in the county is General Leonard Wood Army Community Hospital, which see military personnel and dependents only.  </w:t>
      </w:r>
      <w:r w:rsidR="00D10E8E">
        <w:t>St. John’s Clinic-St. Robert has extended their clinic hours with one physician available during weekend walk-in clinics.  There are no pediatric or OB/GYN physicians practicing in the county.</w:t>
      </w:r>
    </w:p>
    <w:p w:rsidR="00D10E8E" w:rsidRDefault="00D10E8E" w:rsidP="002B40BA">
      <w:pPr>
        <w:pStyle w:val="NoSpacing"/>
      </w:pPr>
    </w:p>
    <w:p w:rsidR="00D10E8E" w:rsidRDefault="00D10E8E" w:rsidP="002B40BA">
      <w:pPr>
        <w:pStyle w:val="NoSpacing"/>
      </w:pPr>
      <w:r>
        <w:t xml:space="preserve">There are six dental offices; two that will accept Medicaid patients and/or patients with no insurance.  The Smile Mobile visits each school district and the Pulaski County Health Department annually.  This allows students and underserved children in the community the opportunity to receive dental care.  </w:t>
      </w:r>
    </w:p>
    <w:p w:rsidR="00D10E8E" w:rsidRDefault="00D10E8E" w:rsidP="002B40BA">
      <w:pPr>
        <w:pStyle w:val="NoSpacing"/>
      </w:pPr>
    </w:p>
    <w:p w:rsidR="00D10E8E" w:rsidRDefault="00D10E8E" w:rsidP="002B40BA">
      <w:pPr>
        <w:pStyle w:val="NoSpacing"/>
      </w:pPr>
      <w:r>
        <w:t>Table 8.1 depicts the Pulaski County and Missouri Health Care to Population Ratio.</w:t>
      </w:r>
    </w:p>
    <w:p w:rsidR="00F554E2" w:rsidRDefault="00F554E2" w:rsidP="002B40BA">
      <w:pPr>
        <w:pStyle w:val="NoSpacing"/>
      </w:pPr>
    </w:p>
    <w:p w:rsidR="00F554E2" w:rsidRDefault="00F554E2" w:rsidP="002B40BA">
      <w:pPr>
        <w:pStyle w:val="NoSpacing"/>
      </w:pPr>
    </w:p>
    <w:p w:rsidR="00F554E2" w:rsidRDefault="003A5A5C" w:rsidP="002B40BA">
      <w:pPr>
        <w:pStyle w:val="NoSpacing"/>
      </w:pPr>
      <w:r>
        <w:rPr>
          <w:noProof/>
        </w:rPr>
        <w:drawing>
          <wp:anchor distT="0" distB="0" distL="114300" distR="114300" simplePos="0" relativeHeight="251662336" behindDoc="0" locked="0" layoutInCell="1" allowOverlap="1">
            <wp:simplePos x="0" y="0"/>
            <wp:positionH relativeFrom="column">
              <wp:posOffset>180975</wp:posOffset>
            </wp:positionH>
            <wp:positionV relativeFrom="paragraph">
              <wp:posOffset>71755</wp:posOffset>
            </wp:positionV>
            <wp:extent cx="5210175" cy="4029075"/>
            <wp:effectExtent l="19050" t="0" r="9525" b="0"/>
            <wp:wrapNone/>
            <wp:docPr id="15" name="Picture 14" descr="physicians_per10k_2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ians_per10k_2000.gif"/>
                    <pic:cNvPicPr/>
                  </pic:nvPicPr>
                  <pic:blipFill>
                    <a:blip r:embed="rId48" cstate="print"/>
                    <a:stretch>
                      <a:fillRect/>
                    </a:stretch>
                  </pic:blipFill>
                  <pic:spPr>
                    <a:xfrm>
                      <a:off x="0" y="0"/>
                      <a:ext cx="5210175" cy="4029075"/>
                    </a:xfrm>
                    <a:prstGeom prst="rect">
                      <a:avLst/>
                    </a:prstGeom>
                  </pic:spPr>
                </pic:pic>
              </a:graphicData>
            </a:graphic>
          </wp:anchor>
        </w:drawing>
      </w:r>
    </w:p>
    <w:p w:rsidR="00F554E2" w:rsidRDefault="00F554E2" w:rsidP="002B40BA">
      <w:pPr>
        <w:pStyle w:val="NoSpacing"/>
      </w:pPr>
    </w:p>
    <w:p w:rsidR="00F554E2" w:rsidRDefault="00F554E2" w:rsidP="002B40BA">
      <w:pPr>
        <w:pStyle w:val="NoSpacing"/>
      </w:pPr>
    </w:p>
    <w:p w:rsidR="00F554E2" w:rsidRDefault="00F554E2" w:rsidP="002B40BA">
      <w:pPr>
        <w:pStyle w:val="NoSpacing"/>
      </w:pPr>
    </w:p>
    <w:p w:rsidR="00F554E2" w:rsidRDefault="00F554E2" w:rsidP="002B40BA">
      <w:pPr>
        <w:pStyle w:val="NoSpacing"/>
      </w:pPr>
    </w:p>
    <w:p w:rsidR="00F554E2" w:rsidRDefault="00F554E2" w:rsidP="002B40BA">
      <w:pPr>
        <w:pStyle w:val="NoSpacing"/>
      </w:pPr>
    </w:p>
    <w:p w:rsidR="00F554E2" w:rsidRDefault="00F554E2" w:rsidP="002B40BA">
      <w:pPr>
        <w:pStyle w:val="NoSpacing"/>
      </w:pPr>
    </w:p>
    <w:p w:rsidR="00D10E8E" w:rsidRDefault="00D10E8E" w:rsidP="002B40BA">
      <w:pPr>
        <w:pStyle w:val="NoSpacing"/>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Default="00F554E2" w:rsidP="002B40BA">
      <w:pPr>
        <w:pStyle w:val="NoSpacing"/>
        <w:rPr>
          <w:noProof/>
        </w:rPr>
      </w:pPr>
    </w:p>
    <w:p w:rsidR="00F554E2" w:rsidRPr="00E1627E" w:rsidRDefault="00E1627E" w:rsidP="00F76826">
      <w:pPr>
        <w:pStyle w:val="NoSpacing"/>
        <w:rPr>
          <w:sz w:val="20"/>
          <w:szCs w:val="20"/>
        </w:rPr>
      </w:pPr>
      <w:r>
        <w:t xml:space="preserve">                        </w:t>
      </w:r>
      <w:r>
        <w:rPr>
          <w:sz w:val="20"/>
          <w:szCs w:val="20"/>
        </w:rPr>
        <w:t>Table 8.1</w:t>
      </w:r>
    </w:p>
    <w:p w:rsidR="00F554E2" w:rsidRDefault="00F554E2" w:rsidP="00F76826">
      <w:pPr>
        <w:pStyle w:val="NoSpacing"/>
      </w:pPr>
    </w:p>
    <w:p w:rsidR="00F554E2" w:rsidRDefault="00F554E2" w:rsidP="00F76826">
      <w:pPr>
        <w:pStyle w:val="NoSpacing"/>
      </w:pPr>
    </w:p>
    <w:p w:rsidR="00476EEF" w:rsidRDefault="00476EEF" w:rsidP="00F76826">
      <w:pPr>
        <w:pStyle w:val="NoSpacing"/>
      </w:pPr>
    </w:p>
    <w:p w:rsidR="00476EEF" w:rsidRDefault="00476EEF" w:rsidP="00F76826">
      <w:pPr>
        <w:pStyle w:val="NoSpacing"/>
      </w:pPr>
    </w:p>
    <w:p w:rsidR="003A5A5C" w:rsidRDefault="003A5A5C" w:rsidP="00F76826">
      <w:pPr>
        <w:pStyle w:val="NoSpacing"/>
      </w:pPr>
    </w:p>
    <w:p w:rsidR="00F554E2" w:rsidRPr="00F554E2" w:rsidRDefault="00F554E2" w:rsidP="00F554E2">
      <w:pPr>
        <w:pStyle w:val="NoSpacing"/>
        <w:pBdr>
          <w:top w:val="single" w:sz="4" w:space="1" w:color="auto"/>
          <w:bottom w:val="single" w:sz="4" w:space="1" w:color="auto"/>
        </w:pBdr>
        <w:jc w:val="center"/>
      </w:pPr>
      <w:r w:rsidRPr="00F554E2">
        <w:t>Community Health Assessment Summary of Finding</w:t>
      </w:r>
      <w:r w:rsidR="00162809">
        <w:t>s</w:t>
      </w:r>
    </w:p>
    <w:p w:rsidR="00F554E2" w:rsidRDefault="00F554E2" w:rsidP="00F554E2">
      <w:pPr>
        <w:pStyle w:val="NoSpacing"/>
        <w:pBdr>
          <w:top w:val="single" w:sz="4" w:space="1" w:color="auto"/>
        </w:pBdr>
        <w:jc w:val="center"/>
        <w:rPr>
          <w:b/>
        </w:rPr>
      </w:pPr>
    </w:p>
    <w:p w:rsidR="00F554E2" w:rsidRDefault="00F554E2" w:rsidP="00F554E2">
      <w:pPr>
        <w:pStyle w:val="NoSpacing"/>
        <w:pBdr>
          <w:top w:val="single" w:sz="4" w:space="1" w:color="auto"/>
        </w:pBdr>
      </w:pPr>
      <w:r>
        <w:t>Review of the community health status indicators, including primary and secondary data reveals the t</w:t>
      </w:r>
      <w:r w:rsidR="00441E29">
        <w:t>hree most significant problems affecting the health status of Pulaski County’s residents are:</w:t>
      </w:r>
    </w:p>
    <w:p w:rsidR="00441E29" w:rsidRDefault="00441E29" w:rsidP="00441E29">
      <w:pPr>
        <w:pStyle w:val="NoSpacing"/>
        <w:numPr>
          <w:ilvl w:val="0"/>
          <w:numId w:val="7"/>
        </w:numPr>
      </w:pPr>
      <w:r>
        <w:t>Heart Disease</w:t>
      </w:r>
    </w:p>
    <w:p w:rsidR="00441E29" w:rsidRDefault="00441E29" w:rsidP="00441E29">
      <w:pPr>
        <w:pStyle w:val="NoSpacing"/>
        <w:numPr>
          <w:ilvl w:val="0"/>
          <w:numId w:val="7"/>
        </w:numPr>
      </w:pPr>
      <w:r>
        <w:t>Smoking Attributable disease</w:t>
      </w:r>
    </w:p>
    <w:p w:rsidR="00441E29" w:rsidRDefault="00441E29" w:rsidP="00441E29">
      <w:pPr>
        <w:pStyle w:val="NoSpacing"/>
        <w:numPr>
          <w:ilvl w:val="0"/>
          <w:numId w:val="7"/>
        </w:numPr>
      </w:pPr>
      <w:r>
        <w:t>Unintentional Injury</w:t>
      </w:r>
    </w:p>
    <w:p w:rsidR="00441E29" w:rsidRDefault="00441E29" w:rsidP="00441E29">
      <w:pPr>
        <w:pStyle w:val="NoSpacing"/>
        <w:ind w:left="720"/>
      </w:pPr>
    </w:p>
    <w:p w:rsidR="00441E29" w:rsidRDefault="00441E29" w:rsidP="00441E29">
      <w:pPr>
        <w:pStyle w:val="NoSpacing"/>
      </w:pPr>
      <w:r>
        <w:t xml:space="preserve">The priority risk factors and priority disease/condition report for Pulaski County indicates we have higher mortality and morbidity rates than the state rates.  Many of the illnesses and deaths experienced by the adult population are in part a culmination of lifestyle choices such as smoking, lack of physical </w:t>
      </w:r>
      <w:r w:rsidR="004F0424">
        <w:t xml:space="preserve">activity and proper diet, lack of regular prevention and screening services.  In addition the senior population experienced a higher rate of falls and injuries.  </w:t>
      </w:r>
    </w:p>
    <w:p w:rsidR="004F0424" w:rsidRDefault="004F0424" w:rsidP="00441E29">
      <w:pPr>
        <w:pStyle w:val="NoSpacing"/>
      </w:pPr>
    </w:p>
    <w:p w:rsidR="004F0424" w:rsidRDefault="004F0424" w:rsidP="00441E29">
      <w:pPr>
        <w:pStyle w:val="NoSpacing"/>
      </w:pPr>
      <w:r>
        <w:t>Sexually Transmitted Disease (STD) rates continue to increase and are significantly higher than the state rate.</w:t>
      </w:r>
    </w:p>
    <w:p w:rsidR="004F0424" w:rsidRDefault="004F0424" w:rsidP="00441E29">
      <w:pPr>
        <w:pStyle w:val="NoSpacing"/>
      </w:pPr>
    </w:p>
    <w:p w:rsidR="004F0424" w:rsidRDefault="004F0424" w:rsidP="00441E29">
      <w:pPr>
        <w:pStyle w:val="NoSpacing"/>
      </w:pPr>
      <w:r>
        <w:t xml:space="preserve">Maternal and Child Health issues in Pulaski County are about average with the state.  We continue to be slightly lower and/or equal to the state in many MCH health concerns.  However, child abuse rates in Pulaski County are 4% higher than the state wide </w:t>
      </w:r>
      <w:r w:rsidR="00D13608">
        <w:t>average.</w:t>
      </w:r>
    </w:p>
    <w:p w:rsidR="00D13608" w:rsidRDefault="00D13608" w:rsidP="00441E29">
      <w:pPr>
        <w:pStyle w:val="NoSpacing"/>
      </w:pPr>
    </w:p>
    <w:p w:rsidR="00D13608" w:rsidRDefault="005740E7" w:rsidP="00441E29">
      <w:pPr>
        <w:pStyle w:val="NoSpacing"/>
      </w:pPr>
      <w:r>
        <w:t>The general health in Pulaski County is poor.  Behavioral risk factors are all considerably higher than the statewide rates, including residents with no health insurance.  The amount of chronic disease cases continues to be higher with screening rates still lower.</w:t>
      </w:r>
    </w:p>
    <w:p w:rsidR="005740E7" w:rsidRDefault="005740E7" w:rsidP="00441E29">
      <w:pPr>
        <w:pStyle w:val="NoSpacing"/>
      </w:pPr>
    </w:p>
    <w:p w:rsidR="005740E7" w:rsidRDefault="005740E7" w:rsidP="00441E29">
      <w:pPr>
        <w:pStyle w:val="NoSpacing"/>
      </w:pPr>
      <w:r>
        <w:t>Physical inactivity, elevated blood pressure, elevated cholesterol, diabetes among adults and noncompliance with screenings for mammograms and colonoscopy are higher than state rates.</w:t>
      </w:r>
      <w:r w:rsidR="00E1627E">
        <w:t xml:space="preserve">  Also with the rise of unintentional injuries, the increase in the measure of safety has become more of a concern.</w:t>
      </w:r>
    </w:p>
    <w:p w:rsidR="005740E7" w:rsidRDefault="005740E7" w:rsidP="00441E29">
      <w:pPr>
        <w:pStyle w:val="NoSpacing"/>
      </w:pPr>
    </w:p>
    <w:p w:rsidR="005740E7" w:rsidRDefault="005740E7" w:rsidP="00441E29">
      <w:pPr>
        <w:pStyle w:val="NoSpacing"/>
      </w:pPr>
      <w:r>
        <w:t>Overall</w:t>
      </w:r>
      <w:r w:rsidR="00E1627E">
        <w:t>, the mortality rate for Pulaski County residents is much higher than the state rate.</w:t>
      </w:r>
    </w:p>
    <w:p w:rsidR="00E1627E" w:rsidRDefault="00E1627E"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3A5A5C" w:rsidRDefault="003A5A5C" w:rsidP="00441E29">
      <w:pPr>
        <w:pStyle w:val="NoSpacing"/>
      </w:pPr>
    </w:p>
    <w:p w:rsidR="00E1627E" w:rsidRDefault="002D4EA0" w:rsidP="00E1627E">
      <w:pPr>
        <w:pStyle w:val="NoSpacing"/>
        <w:pBdr>
          <w:top w:val="single" w:sz="4" w:space="1" w:color="auto"/>
          <w:bottom w:val="single" w:sz="4" w:space="1" w:color="auto"/>
        </w:pBdr>
        <w:jc w:val="center"/>
        <w:rPr>
          <w:b/>
        </w:rPr>
      </w:pPr>
      <w:r>
        <w:rPr>
          <w:b/>
        </w:rPr>
        <w:t>Primary Data Sources</w:t>
      </w:r>
    </w:p>
    <w:p w:rsidR="00E1627E" w:rsidRDefault="00E1627E" w:rsidP="00E1627E">
      <w:pPr>
        <w:pStyle w:val="NoSpacing"/>
        <w:jc w:val="center"/>
        <w:rPr>
          <w:b/>
        </w:rPr>
      </w:pPr>
    </w:p>
    <w:p w:rsidR="00E1627E" w:rsidRPr="00E1627E" w:rsidRDefault="00E1627E" w:rsidP="00E1627E">
      <w:pPr>
        <w:pStyle w:val="NoSpacing"/>
      </w:pPr>
    </w:p>
    <w:p w:rsidR="004F0424" w:rsidRDefault="00550BEB" w:rsidP="00441E29">
      <w:pPr>
        <w:pStyle w:val="NoSpacing"/>
      </w:pPr>
      <w:r>
        <w:t xml:space="preserve">MODHSS (Missouri Department of Health &amp; Senior Services). </w:t>
      </w:r>
      <w:r>
        <w:rPr>
          <w:i/>
        </w:rPr>
        <w:t>MICA</w:t>
      </w:r>
      <w:r>
        <w:t>. In Population MICA.</w:t>
      </w:r>
    </w:p>
    <w:p w:rsidR="00550BEB" w:rsidRDefault="00550BEB" w:rsidP="00441E29">
      <w:pPr>
        <w:pStyle w:val="NoSpacing"/>
      </w:pPr>
      <w:r>
        <w:t xml:space="preserve">               Retrieved 2010, September, from </w:t>
      </w:r>
      <w:hyperlink r:id="rId49" w:history="1">
        <w:r w:rsidRPr="00496482">
          <w:rPr>
            <w:rStyle w:val="Hyperlink"/>
          </w:rPr>
          <w:t>http://www.dhss.mo.gov/mica/population.php</w:t>
        </w:r>
      </w:hyperlink>
      <w:r>
        <w:t xml:space="preserve"> </w:t>
      </w:r>
    </w:p>
    <w:p w:rsidR="00550BEB" w:rsidRPr="00550BEB" w:rsidRDefault="00550BEB" w:rsidP="00441E29">
      <w:pPr>
        <w:pStyle w:val="NoSpacing"/>
      </w:pPr>
    </w:p>
    <w:p w:rsidR="00550BEB" w:rsidRDefault="00550BEB" w:rsidP="00441E29">
      <w:pPr>
        <w:pStyle w:val="NoSpacing"/>
        <w:rPr>
          <w:i/>
        </w:rPr>
      </w:pPr>
      <w:r>
        <w:t xml:space="preserve">MODHSS (Missouri Department of Health &amp; Senior Services). </w:t>
      </w:r>
      <w:r>
        <w:rPr>
          <w:i/>
        </w:rPr>
        <w:t xml:space="preserve">Community Data Profiles </w:t>
      </w:r>
    </w:p>
    <w:p w:rsidR="004F0424" w:rsidRPr="00550BEB" w:rsidRDefault="00550BEB" w:rsidP="00441E29">
      <w:pPr>
        <w:pStyle w:val="NoSpacing"/>
      </w:pPr>
      <w:r>
        <w:rPr>
          <w:i/>
        </w:rPr>
        <w:t xml:space="preserve">  </w:t>
      </w:r>
      <w:r>
        <w:rPr>
          <w:i/>
        </w:rPr>
        <w:tab/>
      </w:r>
      <w:r>
        <w:t>In Social and Economic Indicators. Retrieved 2010, September, from</w:t>
      </w:r>
    </w:p>
    <w:p w:rsidR="00550BEB" w:rsidRDefault="00550BEB" w:rsidP="00441E29">
      <w:pPr>
        <w:pStyle w:val="NoSpacing"/>
      </w:pPr>
      <w:r>
        <w:tab/>
      </w:r>
      <w:hyperlink r:id="rId50" w:history="1">
        <w:r w:rsidRPr="00496482">
          <w:rPr>
            <w:rStyle w:val="Hyperlink"/>
          </w:rPr>
          <w:t>http://www.dhss.mo.gov/profiles/SocialandEconomic/index.html?cnty=929</w:t>
        </w:r>
      </w:hyperlink>
      <w:r>
        <w:t xml:space="preserve"> </w:t>
      </w:r>
    </w:p>
    <w:p w:rsidR="00550BEB" w:rsidRDefault="00550BEB" w:rsidP="00441E29">
      <w:pPr>
        <w:pStyle w:val="NoSpacing"/>
      </w:pPr>
    </w:p>
    <w:p w:rsidR="001439C4" w:rsidRDefault="001439C4" w:rsidP="00441E29">
      <w:pPr>
        <w:pStyle w:val="NoSpacing"/>
      </w:pPr>
      <w:r>
        <w:t xml:space="preserve">MODHSS (Missouri Department of Health &amp; Senior Services).  Community Data Profiles, In Child Health </w:t>
      </w:r>
    </w:p>
    <w:p w:rsidR="00550BEB" w:rsidRDefault="001439C4" w:rsidP="00441E29">
      <w:pPr>
        <w:pStyle w:val="NoSpacing"/>
      </w:pPr>
      <w:r>
        <w:t xml:space="preserve">      </w:t>
      </w:r>
      <w:r>
        <w:tab/>
        <w:t xml:space="preserve">Profile.  Retrieved 2010, September, from </w:t>
      </w:r>
      <w:r>
        <w:tab/>
      </w:r>
      <w:hyperlink r:id="rId51" w:history="1">
        <w:r w:rsidRPr="00496482">
          <w:rPr>
            <w:rStyle w:val="Hyperlink"/>
          </w:rPr>
          <w:t>http://www.dhss.mo.gov/ASPsChildHealth/Main.php?cnty=169</w:t>
        </w:r>
      </w:hyperlink>
      <w:r>
        <w:t xml:space="preserve"> </w:t>
      </w:r>
    </w:p>
    <w:p w:rsidR="001439C4" w:rsidRDefault="001439C4" w:rsidP="00441E29">
      <w:pPr>
        <w:pStyle w:val="NoSpacing"/>
      </w:pPr>
    </w:p>
    <w:p w:rsidR="001439C4" w:rsidRDefault="001439C4" w:rsidP="00441E29">
      <w:pPr>
        <w:pStyle w:val="NoSpacing"/>
      </w:pPr>
      <w:r>
        <w:t>MODHSS (Missouri Department of Health &amp; Senior Services).  Community Data Profiles, In Death-</w:t>
      </w:r>
    </w:p>
    <w:p w:rsidR="001439C4" w:rsidRDefault="001439C4" w:rsidP="00441E29">
      <w:pPr>
        <w:pStyle w:val="NoSpacing"/>
      </w:pPr>
      <w:r>
        <w:tab/>
        <w:t xml:space="preserve">Leading Cause Profile. Retrieved 2010, September, from </w:t>
      </w:r>
    </w:p>
    <w:p w:rsidR="001439C4" w:rsidRDefault="001439C4" w:rsidP="00441E29">
      <w:pPr>
        <w:pStyle w:val="NoSpacing"/>
      </w:pPr>
      <w:r>
        <w:tab/>
      </w:r>
      <w:hyperlink r:id="rId52" w:history="1">
        <w:r w:rsidRPr="00496482">
          <w:rPr>
            <w:rStyle w:val="Hyperlink"/>
          </w:rPr>
          <w:t>http://www.dhss.mo.gov/ASPsDeath/header.php?cnty=169</w:t>
        </w:r>
      </w:hyperlink>
    </w:p>
    <w:p w:rsidR="001439C4" w:rsidRDefault="001439C4" w:rsidP="00441E29">
      <w:pPr>
        <w:pStyle w:val="NoSpacing"/>
      </w:pPr>
    </w:p>
    <w:p w:rsidR="001439C4" w:rsidRDefault="001439C4" w:rsidP="00441E29">
      <w:pPr>
        <w:pStyle w:val="NoSpacing"/>
      </w:pPr>
      <w:r>
        <w:t xml:space="preserve"> MODHSS (Missouri Department of Health &amp; Senior Services).  Community Data Profiles, In Prenatal </w:t>
      </w:r>
    </w:p>
    <w:p w:rsidR="007954DE" w:rsidRDefault="001439C4" w:rsidP="00441E29">
      <w:pPr>
        <w:pStyle w:val="NoSpacing"/>
      </w:pPr>
      <w:r>
        <w:tab/>
        <w:t xml:space="preserve">Profile. Retrieved 2010, September, from  </w:t>
      </w:r>
    </w:p>
    <w:p w:rsidR="001439C4" w:rsidRDefault="007954DE" w:rsidP="00441E29">
      <w:pPr>
        <w:pStyle w:val="NoSpacing"/>
      </w:pPr>
      <w:r>
        <w:tab/>
      </w:r>
      <w:hyperlink r:id="rId53" w:history="1">
        <w:r w:rsidRPr="00496482">
          <w:rPr>
            <w:rStyle w:val="Hyperlink"/>
          </w:rPr>
          <w:t>http://www.dhss.mo.gov/ASPsPrenatal/header.php?cnty=169</w:t>
        </w:r>
      </w:hyperlink>
      <w:r>
        <w:t xml:space="preserve"> </w:t>
      </w:r>
    </w:p>
    <w:p w:rsidR="007954DE" w:rsidRDefault="007954DE" w:rsidP="00441E29">
      <w:pPr>
        <w:pStyle w:val="NoSpacing"/>
      </w:pPr>
    </w:p>
    <w:p w:rsidR="007954DE" w:rsidRDefault="007954DE" w:rsidP="00441E29">
      <w:pPr>
        <w:pStyle w:val="NoSpacing"/>
      </w:pPr>
      <w:r>
        <w:t xml:space="preserve">MODHSS (Missouri Department of Health &amp; Senior Services). </w:t>
      </w:r>
      <w:r>
        <w:rPr>
          <w:i/>
        </w:rPr>
        <w:t>MICA.</w:t>
      </w:r>
      <w:r>
        <w:t xml:space="preserve">  In WIC MICA.  Retrieved 2010, </w:t>
      </w:r>
    </w:p>
    <w:p w:rsidR="007954DE" w:rsidRDefault="007954DE" w:rsidP="00441E29">
      <w:pPr>
        <w:pStyle w:val="NoSpacing"/>
      </w:pPr>
      <w:r>
        <w:tab/>
        <w:t xml:space="preserve">September, from </w:t>
      </w:r>
      <w:hyperlink r:id="rId54" w:history="1">
        <w:r w:rsidRPr="00496482">
          <w:rPr>
            <w:rStyle w:val="Hyperlink"/>
          </w:rPr>
          <w:t>http://www.dhss.mo.gov/WICMICA/index.html</w:t>
        </w:r>
      </w:hyperlink>
      <w:r>
        <w:t xml:space="preserve"> </w:t>
      </w:r>
    </w:p>
    <w:p w:rsidR="007954DE" w:rsidRDefault="007954DE" w:rsidP="00441E29">
      <w:pPr>
        <w:pStyle w:val="NoSpacing"/>
      </w:pPr>
    </w:p>
    <w:p w:rsidR="007954DE" w:rsidRDefault="007954DE" w:rsidP="00441E29">
      <w:pPr>
        <w:pStyle w:val="NoSpacing"/>
      </w:pPr>
      <w:r>
        <w:t>Pulaski County Health Department.  2009 Annual Report Document, Retrieved 2010, September.</w:t>
      </w:r>
    </w:p>
    <w:p w:rsidR="007954DE" w:rsidRDefault="007954DE" w:rsidP="00441E29">
      <w:pPr>
        <w:pStyle w:val="NoSpacing"/>
      </w:pPr>
    </w:p>
    <w:p w:rsidR="007954DE" w:rsidRDefault="007954DE" w:rsidP="00441E29">
      <w:pPr>
        <w:pStyle w:val="NoSpacing"/>
      </w:pPr>
      <w:r>
        <w:t xml:space="preserve">MODHSS (Missouri Department of Health &amp; Senior Services).  Community Data Profiles, In Maternal </w:t>
      </w:r>
    </w:p>
    <w:p w:rsidR="007954DE" w:rsidRDefault="007954DE" w:rsidP="00441E29">
      <w:pPr>
        <w:pStyle w:val="NoSpacing"/>
      </w:pPr>
      <w:r>
        <w:tab/>
        <w:t xml:space="preserve">(Preconception/Family Planning) Health Profile.  Retrieved 2010, September from </w:t>
      </w:r>
    </w:p>
    <w:p w:rsidR="007954DE" w:rsidRDefault="007954DE" w:rsidP="00441E29">
      <w:pPr>
        <w:pStyle w:val="NoSpacing"/>
      </w:pPr>
      <w:r>
        <w:tab/>
      </w:r>
      <w:hyperlink r:id="rId55" w:history="1">
        <w:r w:rsidRPr="00496482">
          <w:rPr>
            <w:rStyle w:val="Hyperlink"/>
          </w:rPr>
          <w:t>http://www.dhss.mo.gov/ASPsPFP/header.php?cnty=169</w:t>
        </w:r>
      </w:hyperlink>
      <w:r>
        <w:t xml:space="preserve"> </w:t>
      </w:r>
    </w:p>
    <w:p w:rsidR="007954DE" w:rsidRDefault="007954DE" w:rsidP="00441E29">
      <w:pPr>
        <w:pStyle w:val="NoSpacing"/>
      </w:pPr>
    </w:p>
    <w:p w:rsidR="007954DE" w:rsidRDefault="007954DE" w:rsidP="00441E29">
      <w:pPr>
        <w:pStyle w:val="NoSpacing"/>
      </w:pPr>
      <w:r>
        <w:t xml:space="preserve">County Health Rankings.  2010 Snapshot: Pulaski County.  Retrieved 2010, September, from </w:t>
      </w:r>
    </w:p>
    <w:p w:rsidR="007954DE" w:rsidRDefault="007954DE" w:rsidP="00441E29">
      <w:pPr>
        <w:pStyle w:val="NoSpacing"/>
      </w:pPr>
      <w:r>
        <w:tab/>
      </w:r>
      <w:hyperlink r:id="rId56" w:history="1">
        <w:r w:rsidRPr="00496482">
          <w:rPr>
            <w:rStyle w:val="Hyperlink"/>
          </w:rPr>
          <w:t>http://www.countyhealthrankings.org/missouri/pulaski</w:t>
        </w:r>
      </w:hyperlink>
      <w:r>
        <w:t xml:space="preserve"> </w:t>
      </w:r>
    </w:p>
    <w:p w:rsidR="007954DE" w:rsidRDefault="007954DE" w:rsidP="00441E29">
      <w:pPr>
        <w:pStyle w:val="NoSpacing"/>
      </w:pPr>
    </w:p>
    <w:p w:rsidR="007954DE" w:rsidRDefault="0008657B" w:rsidP="00441E29">
      <w:pPr>
        <w:pStyle w:val="NoSpacing"/>
      </w:pPr>
      <w:r>
        <w:t>Lanis Hicks, UM Health Management and Informatics, DHSS Manpower Database 1980-2000</w:t>
      </w:r>
    </w:p>
    <w:p w:rsidR="0083654A" w:rsidRDefault="0008657B" w:rsidP="00441E29">
      <w:pPr>
        <w:pStyle w:val="NoSpacing"/>
      </w:pPr>
      <w:r>
        <w:tab/>
        <w:t xml:space="preserve">Prepared by: University Outreach, Office of Social and Economic Data Analysis- (OSEDA) Map </w:t>
      </w:r>
    </w:p>
    <w:p w:rsidR="0083654A" w:rsidRDefault="0083654A" w:rsidP="00441E29">
      <w:pPr>
        <w:pStyle w:val="NoSpacing"/>
      </w:pPr>
      <w:r>
        <w:tab/>
      </w:r>
      <w:r w:rsidR="0008657B">
        <w:t>Generated on 3/4/2002. Retrieved 2010, September from</w:t>
      </w:r>
      <w:r>
        <w:t xml:space="preserve"> </w:t>
      </w:r>
    </w:p>
    <w:p w:rsidR="0008657B" w:rsidRDefault="0083654A" w:rsidP="00441E29">
      <w:pPr>
        <w:pStyle w:val="NoSpacing"/>
      </w:pPr>
      <w:r>
        <w:tab/>
      </w:r>
      <w:hyperlink r:id="rId57" w:history="1">
        <w:r w:rsidRPr="00496482">
          <w:rPr>
            <w:rStyle w:val="Hyperlink"/>
          </w:rPr>
          <w:t>http://www.oseda.missouri.edu/trendltr/yr2002/missouri_physicians_2000.html</w:t>
        </w:r>
      </w:hyperlink>
      <w:r>
        <w:t xml:space="preserve"> </w:t>
      </w:r>
    </w:p>
    <w:p w:rsidR="0083654A" w:rsidRDefault="0083654A"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E9703E" w:rsidRDefault="00E9703E" w:rsidP="00441E29">
      <w:pPr>
        <w:pStyle w:val="NoSpacing"/>
      </w:pPr>
    </w:p>
    <w:p w:rsidR="007954DE" w:rsidRDefault="00E9703E" w:rsidP="00441E29">
      <w:pPr>
        <w:pStyle w:val="NoSpacing"/>
        <w:rPr>
          <w:b/>
          <w:sz w:val="52"/>
          <w:szCs w:val="52"/>
        </w:rPr>
      </w:pPr>
      <w:r w:rsidRPr="00E9703E">
        <w:rPr>
          <w:b/>
          <w:sz w:val="52"/>
          <w:szCs w:val="52"/>
        </w:rPr>
        <w:t>Appendix A</w:t>
      </w:r>
      <w:r>
        <w:rPr>
          <w:b/>
          <w:sz w:val="52"/>
          <w:szCs w:val="52"/>
        </w:rPr>
        <w:t>: Pulaski County Health Department 2009 Annual Report</w:t>
      </w: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Default="00E9703E" w:rsidP="00441E29">
      <w:pPr>
        <w:pStyle w:val="NoSpacing"/>
        <w:rPr>
          <w:b/>
          <w:sz w:val="52"/>
          <w:szCs w:val="52"/>
        </w:rPr>
      </w:pPr>
    </w:p>
    <w:p w:rsidR="00E9703E" w:rsidRPr="00E9703E" w:rsidRDefault="00E9703E" w:rsidP="00441E29">
      <w:pPr>
        <w:pStyle w:val="NoSpacing"/>
        <w:rPr>
          <w:b/>
          <w:sz w:val="52"/>
          <w:szCs w:val="52"/>
        </w:rPr>
      </w:pPr>
      <w:r>
        <w:rPr>
          <w:b/>
          <w:sz w:val="52"/>
          <w:szCs w:val="52"/>
        </w:rPr>
        <w:t>Appendix B: 2007 Epidemiologic Profiles of HIV Disease and STDs in Missouri</w:t>
      </w:r>
    </w:p>
    <w:sectPr w:rsidR="00E9703E" w:rsidRPr="00E9703E" w:rsidSect="003A5A5C">
      <w:footerReference w:type="default" r:id="rId58"/>
      <w:pgSz w:w="12240" w:h="15840"/>
      <w:pgMar w:top="5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B99" w:rsidRDefault="00375B99" w:rsidP="003A5A5C">
      <w:pPr>
        <w:spacing w:after="0" w:line="240" w:lineRule="auto"/>
      </w:pPr>
      <w:r>
        <w:separator/>
      </w:r>
    </w:p>
  </w:endnote>
  <w:endnote w:type="continuationSeparator" w:id="0">
    <w:p w:rsidR="00375B99" w:rsidRDefault="00375B99" w:rsidP="003A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794391"/>
      <w:docPartObj>
        <w:docPartGallery w:val="Page Numbers (Bottom of Page)"/>
        <w:docPartUnique/>
      </w:docPartObj>
    </w:sdtPr>
    <w:sdtEndPr/>
    <w:sdtContent>
      <w:p w:rsidR="003A5A5C" w:rsidRDefault="00375B99">
        <w:pPr>
          <w:pStyle w:val="Footer"/>
          <w:jc w:val="right"/>
        </w:pPr>
        <w:r>
          <w:fldChar w:fldCharType="begin"/>
        </w:r>
        <w:r>
          <w:instrText xml:space="preserve"> PAGE   \* MERGEFORMAT </w:instrText>
        </w:r>
        <w:r>
          <w:fldChar w:fldCharType="separate"/>
        </w:r>
        <w:r w:rsidR="00332BF1">
          <w:rPr>
            <w:noProof/>
          </w:rPr>
          <w:t>9</w:t>
        </w:r>
        <w:r>
          <w:rPr>
            <w:noProof/>
          </w:rPr>
          <w:fldChar w:fldCharType="end"/>
        </w:r>
      </w:p>
    </w:sdtContent>
  </w:sdt>
  <w:p w:rsidR="003A5A5C" w:rsidRDefault="003A5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B99" w:rsidRDefault="00375B99" w:rsidP="003A5A5C">
      <w:pPr>
        <w:spacing w:after="0" w:line="240" w:lineRule="auto"/>
      </w:pPr>
      <w:r>
        <w:separator/>
      </w:r>
    </w:p>
  </w:footnote>
  <w:footnote w:type="continuationSeparator" w:id="0">
    <w:p w:rsidR="00375B99" w:rsidRDefault="00375B99" w:rsidP="003A5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A87"/>
    <w:multiLevelType w:val="hybridMultilevel"/>
    <w:tmpl w:val="FDAE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A55EC"/>
    <w:multiLevelType w:val="hybridMultilevel"/>
    <w:tmpl w:val="0542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B2238"/>
    <w:multiLevelType w:val="hybridMultilevel"/>
    <w:tmpl w:val="E338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946E0"/>
    <w:multiLevelType w:val="hybridMultilevel"/>
    <w:tmpl w:val="A80C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56AFC"/>
    <w:multiLevelType w:val="hybridMultilevel"/>
    <w:tmpl w:val="157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266E8"/>
    <w:multiLevelType w:val="hybridMultilevel"/>
    <w:tmpl w:val="2500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6F40"/>
    <w:multiLevelType w:val="hybridMultilevel"/>
    <w:tmpl w:val="8044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DD1"/>
    <w:rsid w:val="00000A52"/>
    <w:rsid w:val="00012AB1"/>
    <w:rsid w:val="00020485"/>
    <w:rsid w:val="000628DA"/>
    <w:rsid w:val="0008657B"/>
    <w:rsid w:val="000B5DDB"/>
    <w:rsid w:val="000C089E"/>
    <w:rsid w:val="000F4783"/>
    <w:rsid w:val="00102214"/>
    <w:rsid w:val="00103389"/>
    <w:rsid w:val="0013374E"/>
    <w:rsid w:val="001439C4"/>
    <w:rsid w:val="00162809"/>
    <w:rsid w:val="00174BAE"/>
    <w:rsid w:val="001A4219"/>
    <w:rsid w:val="001A7DF5"/>
    <w:rsid w:val="001B1B87"/>
    <w:rsid w:val="001C081B"/>
    <w:rsid w:val="001E0BC4"/>
    <w:rsid w:val="002114FF"/>
    <w:rsid w:val="0021521F"/>
    <w:rsid w:val="0022285E"/>
    <w:rsid w:val="00227E40"/>
    <w:rsid w:val="0024023D"/>
    <w:rsid w:val="002501EC"/>
    <w:rsid w:val="00251476"/>
    <w:rsid w:val="00281123"/>
    <w:rsid w:val="002863CF"/>
    <w:rsid w:val="002B40BA"/>
    <w:rsid w:val="002B4BD1"/>
    <w:rsid w:val="002C2ADD"/>
    <w:rsid w:val="002D4EA0"/>
    <w:rsid w:val="0032031F"/>
    <w:rsid w:val="003216E3"/>
    <w:rsid w:val="00321FD9"/>
    <w:rsid w:val="00332BF1"/>
    <w:rsid w:val="00352200"/>
    <w:rsid w:val="00375B99"/>
    <w:rsid w:val="00381B6B"/>
    <w:rsid w:val="00386CBE"/>
    <w:rsid w:val="0039655C"/>
    <w:rsid w:val="003A2780"/>
    <w:rsid w:val="003A5A5C"/>
    <w:rsid w:val="003E147B"/>
    <w:rsid w:val="004241EF"/>
    <w:rsid w:val="0043732C"/>
    <w:rsid w:val="00441E29"/>
    <w:rsid w:val="00475533"/>
    <w:rsid w:val="00476EEF"/>
    <w:rsid w:val="004953B6"/>
    <w:rsid w:val="004C137E"/>
    <w:rsid w:val="004F0424"/>
    <w:rsid w:val="005324DA"/>
    <w:rsid w:val="00550BEB"/>
    <w:rsid w:val="00553060"/>
    <w:rsid w:val="005740E7"/>
    <w:rsid w:val="0058275A"/>
    <w:rsid w:val="005922B3"/>
    <w:rsid w:val="005E081D"/>
    <w:rsid w:val="005F785E"/>
    <w:rsid w:val="00606F2F"/>
    <w:rsid w:val="0064765F"/>
    <w:rsid w:val="00654E65"/>
    <w:rsid w:val="0066746B"/>
    <w:rsid w:val="00674695"/>
    <w:rsid w:val="006754EC"/>
    <w:rsid w:val="00681E51"/>
    <w:rsid w:val="006D6B41"/>
    <w:rsid w:val="00703C42"/>
    <w:rsid w:val="007126C8"/>
    <w:rsid w:val="007364E2"/>
    <w:rsid w:val="00755D64"/>
    <w:rsid w:val="00762956"/>
    <w:rsid w:val="00782753"/>
    <w:rsid w:val="007954DE"/>
    <w:rsid w:val="007B1602"/>
    <w:rsid w:val="007F395D"/>
    <w:rsid w:val="008020A8"/>
    <w:rsid w:val="00802A07"/>
    <w:rsid w:val="0083654A"/>
    <w:rsid w:val="00897FF7"/>
    <w:rsid w:val="008C4354"/>
    <w:rsid w:val="009059CF"/>
    <w:rsid w:val="00933406"/>
    <w:rsid w:val="009335DC"/>
    <w:rsid w:val="00933C3E"/>
    <w:rsid w:val="00935CE9"/>
    <w:rsid w:val="00974020"/>
    <w:rsid w:val="009C431C"/>
    <w:rsid w:val="009E7826"/>
    <w:rsid w:val="00A13B86"/>
    <w:rsid w:val="00A14EF3"/>
    <w:rsid w:val="00A21F86"/>
    <w:rsid w:val="00A8171B"/>
    <w:rsid w:val="00AC2025"/>
    <w:rsid w:val="00AD131B"/>
    <w:rsid w:val="00AE5665"/>
    <w:rsid w:val="00B0758E"/>
    <w:rsid w:val="00B21AB7"/>
    <w:rsid w:val="00B433A1"/>
    <w:rsid w:val="00B47370"/>
    <w:rsid w:val="00B825FC"/>
    <w:rsid w:val="00B8634E"/>
    <w:rsid w:val="00B8712F"/>
    <w:rsid w:val="00BB3873"/>
    <w:rsid w:val="00BC4C6D"/>
    <w:rsid w:val="00BD0445"/>
    <w:rsid w:val="00C30DD1"/>
    <w:rsid w:val="00C361BB"/>
    <w:rsid w:val="00C432B2"/>
    <w:rsid w:val="00C4385B"/>
    <w:rsid w:val="00C66F98"/>
    <w:rsid w:val="00C8323B"/>
    <w:rsid w:val="00C848B0"/>
    <w:rsid w:val="00CC4D3B"/>
    <w:rsid w:val="00CC7587"/>
    <w:rsid w:val="00D10894"/>
    <w:rsid w:val="00D10E8E"/>
    <w:rsid w:val="00D13608"/>
    <w:rsid w:val="00D25631"/>
    <w:rsid w:val="00D37AFF"/>
    <w:rsid w:val="00D40942"/>
    <w:rsid w:val="00D4249F"/>
    <w:rsid w:val="00D52C3E"/>
    <w:rsid w:val="00D57114"/>
    <w:rsid w:val="00D60DAA"/>
    <w:rsid w:val="00DE0CF4"/>
    <w:rsid w:val="00DE2BA9"/>
    <w:rsid w:val="00DE76B4"/>
    <w:rsid w:val="00E1627E"/>
    <w:rsid w:val="00E20C87"/>
    <w:rsid w:val="00E23090"/>
    <w:rsid w:val="00E65005"/>
    <w:rsid w:val="00E70D2C"/>
    <w:rsid w:val="00E83817"/>
    <w:rsid w:val="00E9703E"/>
    <w:rsid w:val="00EA2D16"/>
    <w:rsid w:val="00EA481D"/>
    <w:rsid w:val="00EE4DB4"/>
    <w:rsid w:val="00EF11B1"/>
    <w:rsid w:val="00F36540"/>
    <w:rsid w:val="00F420A2"/>
    <w:rsid w:val="00F554E2"/>
    <w:rsid w:val="00F76826"/>
    <w:rsid w:val="00F80A91"/>
    <w:rsid w:val="00FC4149"/>
    <w:rsid w:val="00FD7FD1"/>
    <w:rsid w:val="00FF0F06"/>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B1231-2D5E-4A6C-9AE6-F89A0AC4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52"/>
  </w:style>
  <w:style w:type="paragraph" w:styleId="Heading1">
    <w:name w:val="heading 1"/>
    <w:basedOn w:val="Normal"/>
    <w:next w:val="Normal"/>
    <w:link w:val="Heading1Char"/>
    <w:uiPriority w:val="9"/>
    <w:qFormat/>
    <w:rsid w:val="00162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3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54EC"/>
    <w:pPr>
      <w:spacing w:before="100" w:beforeAutospacing="1" w:after="100" w:afterAutospacing="1" w:line="240" w:lineRule="auto"/>
      <w:outlineLvl w:val="2"/>
    </w:pPr>
    <w:rPr>
      <w:rFonts w:ascii="Verdana" w:eastAsia="Times New Roman" w:hAnsi="Verdana" w:cs="Times New Roman"/>
      <w:b/>
      <w:bCs/>
      <w:color w:val="003366"/>
      <w:sz w:val="21"/>
      <w:szCs w:val="21"/>
    </w:rPr>
  </w:style>
  <w:style w:type="paragraph" w:styleId="Heading4">
    <w:name w:val="heading 4"/>
    <w:basedOn w:val="Normal"/>
    <w:link w:val="Heading4Char"/>
    <w:uiPriority w:val="9"/>
    <w:qFormat/>
    <w:rsid w:val="006754EC"/>
    <w:pPr>
      <w:spacing w:after="0" w:line="240" w:lineRule="auto"/>
      <w:outlineLvl w:val="3"/>
    </w:pPr>
    <w:rPr>
      <w:rFonts w:ascii="Verdana" w:eastAsia="Times New Roman" w:hAnsi="Verdana" w:cs="Times New Roman"/>
      <w:b/>
      <w:bCs/>
      <w:color w:val="00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D1"/>
    <w:rPr>
      <w:rFonts w:ascii="Tahoma" w:hAnsi="Tahoma" w:cs="Tahoma"/>
      <w:sz w:val="16"/>
      <w:szCs w:val="16"/>
    </w:rPr>
  </w:style>
  <w:style w:type="paragraph" w:styleId="NoSpacing">
    <w:name w:val="No Spacing"/>
    <w:uiPriority w:val="1"/>
    <w:qFormat/>
    <w:rsid w:val="00C432B2"/>
    <w:pPr>
      <w:spacing w:after="0" w:line="240" w:lineRule="auto"/>
    </w:pPr>
  </w:style>
  <w:style w:type="table" w:styleId="TableGrid">
    <w:name w:val="Table Grid"/>
    <w:basedOn w:val="TableNormal"/>
    <w:uiPriority w:val="59"/>
    <w:rsid w:val="004373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802A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802A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802A0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rsid w:val="00802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FF0F06"/>
    <w:rPr>
      <w:color w:val="0000FF"/>
      <w:u w:val="single"/>
    </w:rPr>
  </w:style>
  <w:style w:type="paragraph" w:styleId="NormalWeb">
    <w:name w:val="Normal (Web)"/>
    <w:basedOn w:val="Normal"/>
    <w:uiPriority w:val="99"/>
    <w:semiHidden/>
    <w:unhideWhenUsed/>
    <w:rsid w:val="00FF0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11">
    <w:name w:val="p11"/>
    <w:basedOn w:val="DefaultParagraphFont"/>
    <w:rsid w:val="007F395D"/>
    <w:rPr>
      <w:rFonts w:ascii="Verdana" w:hAnsi="Verdana" w:hint="default"/>
      <w:strike w:val="0"/>
      <w:dstrike w:val="0"/>
      <w:color w:val="003366"/>
      <w:sz w:val="15"/>
      <w:szCs w:val="15"/>
      <w:u w:val="none"/>
      <w:effect w:val="none"/>
    </w:rPr>
  </w:style>
  <w:style w:type="character" w:customStyle="1" w:styleId="Heading3Char">
    <w:name w:val="Heading 3 Char"/>
    <w:basedOn w:val="DefaultParagraphFont"/>
    <w:link w:val="Heading3"/>
    <w:uiPriority w:val="9"/>
    <w:rsid w:val="006754EC"/>
    <w:rPr>
      <w:rFonts w:ascii="Verdana" w:eastAsia="Times New Roman" w:hAnsi="Verdana" w:cs="Times New Roman"/>
      <w:b/>
      <w:bCs/>
      <w:color w:val="003366"/>
      <w:sz w:val="21"/>
      <w:szCs w:val="21"/>
    </w:rPr>
  </w:style>
  <w:style w:type="character" w:customStyle="1" w:styleId="Heading4Char">
    <w:name w:val="Heading 4 Char"/>
    <w:basedOn w:val="DefaultParagraphFont"/>
    <w:link w:val="Heading4"/>
    <w:uiPriority w:val="9"/>
    <w:rsid w:val="006754EC"/>
    <w:rPr>
      <w:rFonts w:ascii="Verdana" w:eastAsia="Times New Roman" w:hAnsi="Verdana" w:cs="Times New Roman"/>
      <w:b/>
      <w:bCs/>
      <w:color w:val="003366"/>
      <w:sz w:val="20"/>
      <w:szCs w:val="20"/>
    </w:rPr>
  </w:style>
  <w:style w:type="character" w:customStyle="1" w:styleId="twitter">
    <w:name w:val="twitter"/>
    <w:basedOn w:val="DefaultParagraphFont"/>
    <w:rsid w:val="00B47370"/>
  </w:style>
  <w:style w:type="character" w:customStyle="1" w:styleId="facebook">
    <w:name w:val="facebook"/>
    <w:basedOn w:val="DefaultParagraphFont"/>
    <w:rsid w:val="00B47370"/>
  </w:style>
  <w:style w:type="paragraph" w:styleId="Header">
    <w:name w:val="header"/>
    <w:basedOn w:val="Normal"/>
    <w:link w:val="HeaderChar"/>
    <w:uiPriority w:val="99"/>
    <w:semiHidden/>
    <w:unhideWhenUsed/>
    <w:rsid w:val="003A5A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A5C"/>
  </w:style>
  <w:style w:type="paragraph" w:styleId="Footer">
    <w:name w:val="footer"/>
    <w:basedOn w:val="Normal"/>
    <w:link w:val="FooterChar"/>
    <w:uiPriority w:val="99"/>
    <w:unhideWhenUsed/>
    <w:rsid w:val="003A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5C"/>
  </w:style>
  <w:style w:type="character" w:customStyle="1" w:styleId="Heading1Char">
    <w:name w:val="Heading 1 Char"/>
    <w:basedOn w:val="DefaultParagraphFont"/>
    <w:link w:val="Heading1"/>
    <w:uiPriority w:val="9"/>
    <w:rsid w:val="001628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62809"/>
    <w:pPr>
      <w:outlineLvl w:val="9"/>
    </w:pPr>
  </w:style>
  <w:style w:type="paragraph" w:styleId="TOC2">
    <w:name w:val="toc 2"/>
    <w:basedOn w:val="Normal"/>
    <w:next w:val="Normal"/>
    <w:autoRedefine/>
    <w:uiPriority w:val="39"/>
    <w:unhideWhenUsed/>
    <w:qFormat/>
    <w:rsid w:val="00162809"/>
    <w:pPr>
      <w:spacing w:after="100"/>
      <w:ind w:left="220"/>
    </w:pPr>
    <w:rPr>
      <w:rFonts w:eastAsiaTheme="minorEastAsia"/>
    </w:rPr>
  </w:style>
  <w:style w:type="paragraph" w:styleId="TOC1">
    <w:name w:val="toc 1"/>
    <w:basedOn w:val="Normal"/>
    <w:next w:val="Normal"/>
    <w:autoRedefine/>
    <w:uiPriority w:val="39"/>
    <w:semiHidden/>
    <w:unhideWhenUsed/>
    <w:qFormat/>
    <w:rsid w:val="00162809"/>
    <w:pPr>
      <w:spacing w:after="100"/>
    </w:pPr>
    <w:rPr>
      <w:rFonts w:eastAsiaTheme="minorEastAsia"/>
    </w:rPr>
  </w:style>
  <w:style w:type="paragraph" w:styleId="TOC3">
    <w:name w:val="toc 3"/>
    <w:basedOn w:val="Normal"/>
    <w:next w:val="Normal"/>
    <w:autoRedefine/>
    <w:uiPriority w:val="39"/>
    <w:unhideWhenUsed/>
    <w:qFormat/>
    <w:rsid w:val="00162809"/>
    <w:pPr>
      <w:spacing w:after="100"/>
      <w:ind w:left="440"/>
    </w:pPr>
    <w:rPr>
      <w:rFonts w:eastAsiaTheme="minorEastAsia"/>
    </w:rPr>
  </w:style>
  <w:style w:type="character" w:customStyle="1" w:styleId="Heading2Char">
    <w:name w:val="Heading 2 Char"/>
    <w:basedOn w:val="DefaultParagraphFont"/>
    <w:link w:val="Heading2"/>
    <w:uiPriority w:val="9"/>
    <w:semiHidden/>
    <w:rsid w:val="00BB38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2244">
      <w:bodyDiv w:val="1"/>
      <w:marLeft w:val="0"/>
      <w:marRight w:val="0"/>
      <w:marTop w:val="0"/>
      <w:marBottom w:val="0"/>
      <w:divBdr>
        <w:top w:val="none" w:sz="0" w:space="0" w:color="auto"/>
        <w:left w:val="none" w:sz="0" w:space="0" w:color="auto"/>
        <w:bottom w:val="none" w:sz="0" w:space="0" w:color="auto"/>
        <w:right w:val="none" w:sz="0" w:space="0" w:color="auto"/>
      </w:divBdr>
    </w:div>
    <w:div w:id="560024719">
      <w:bodyDiv w:val="1"/>
      <w:marLeft w:val="0"/>
      <w:marRight w:val="0"/>
      <w:marTop w:val="0"/>
      <w:marBottom w:val="0"/>
      <w:divBdr>
        <w:top w:val="none" w:sz="0" w:space="0" w:color="auto"/>
        <w:left w:val="none" w:sz="0" w:space="0" w:color="auto"/>
        <w:bottom w:val="none" w:sz="0" w:space="0" w:color="auto"/>
        <w:right w:val="none" w:sz="0" w:space="0" w:color="auto"/>
      </w:divBdr>
    </w:div>
    <w:div w:id="811869147">
      <w:bodyDiv w:val="1"/>
      <w:marLeft w:val="0"/>
      <w:marRight w:val="0"/>
      <w:marTop w:val="0"/>
      <w:marBottom w:val="0"/>
      <w:divBdr>
        <w:top w:val="none" w:sz="0" w:space="0" w:color="auto"/>
        <w:left w:val="none" w:sz="0" w:space="0" w:color="auto"/>
        <w:bottom w:val="none" w:sz="0" w:space="0" w:color="auto"/>
        <w:right w:val="none" w:sz="0" w:space="0" w:color="auto"/>
      </w:divBdr>
      <w:divsChild>
        <w:div w:id="31393016">
          <w:marLeft w:val="0"/>
          <w:marRight w:val="0"/>
          <w:marTop w:val="0"/>
          <w:marBottom w:val="0"/>
          <w:divBdr>
            <w:top w:val="none" w:sz="0" w:space="0" w:color="auto"/>
            <w:left w:val="none" w:sz="0" w:space="0" w:color="auto"/>
            <w:bottom w:val="none" w:sz="0" w:space="0" w:color="auto"/>
            <w:right w:val="none" w:sz="0" w:space="0" w:color="auto"/>
          </w:divBdr>
        </w:div>
      </w:divsChild>
    </w:div>
    <w:div w:id="1148978366">
      <w:bodyDiv w:val="1"/>
      <w:marLeft w:val="0"/>
      <w:marRight w:val="0"/>
      <w:marTop w:val="0"/>
      <w:marBottom w:val="0"/>
      <w:divBdr>
        <w:top w:val="none" w:sz="0" w:space="0" w:color="auto"/>
        <w:left w:val="none" w:sz="0" w:space="0" w:color="auto"/>
        <w:bottom w:val="none" w:sz="0" w:space="0" w:color="auto"/>
        <w:right w:val="none" w:sz="0" w:space="0" w:color="auto"/>
      </w:divBdr>
    </w:div>
    <w:div w:id="1292245290">
      <w:bodyDiv w:val="1"/>
      <w:marLeft w:val="0"/>
      <w:marRight w:val="0"/>
      <w:marTop w:val="0"/>
      <w:marBottom w:val="0"/>
      <w:divBdr>
        <w:top w:val="none" w:sz="0" w:space="0" w:color="auto"/>
        <w:left w:val="none" w:sz="0" w:space="0" w:color="auto"/>
        <w:bottom w:val="none" w:sz="0" w:space="0" w:color="auto"/>
        <w:right w:val="none" w:sz="0" w:space="0" w:color="auto"/>
      </w:divBdr>
    </w:div>
    <w:div w:id="1395079401">
      <w:bodyDiv w:val="1"/>
      <w:marLeft w:val="0"/>
      <w:marRight w:val="0"/>
      <w:marTop w:val="0"/>
      <w:marBottom w:val="0"/>
      <w:divBdr>
        <w:top w:val="none" w:sz="0" w:space="0" w:color="auto"/>
        <w:left w:val="none" w:sz="0" w:space="0" w:color="auto"/>
        <w:bottom w:val="none" w:sz="0" w:space="0" w:color="auto"/>
        <w:right w:val="none" w:sz="0" w:space="0" w:color="auto"/>
      </w:divBdr>
      <w:divsChild>
        <w:div w:id="1961913954">
          <w:marLeft w:val="0"/>
          <w:marRight w:val="0"/>
          <w:marTop w:val="0"/>
          <w:marBottom w:val="0"/>
          <w:divBdr>
            <w:top w:val="none" w:sz="0" w:space="0" w:color="auto"/>
            <w:left w:val="none" w:sz="0" w:space="0" w:color="auto"/>
            <w:bottom w:val="none" w:sz="0" w:space="0" w:color="auto"/>
            <w:right w:val="none" w:sz="0" w:space="0" w:color="auto"/>
          </w:divBdr>
        </w:div>
      </w:divsChild>
    </w:div>
    <w:div w:id="1518959407">
      <w:bodyDiv w:val="1"/>
      <w:marLeft w:val="0"/>
      <w:marRight w:val="0"/>
      <w:marTop w:val="0"/>
      <w:marBottom w:val="0"/>
      <w:divBdr>
        <w:top w:val="none" w:sz="0" w:space="0" w:color="auto"/>
        <w:left w:val="none" w:sz="0" w:space="0" w:color="auto"/>
        <w:bottom w:val="none" w:sz="0" w:space="0" w:color="auto"/>
        <w:right w:val="none" w:sz="0" w:space="0" w:color="auto"/>
      </w:divBdr>
    </w:div>
    <w:div w:id="1575968413">
      <w:bodyDiv w:val="1"/>
      <w:marLeft w:val="0"/>
      <w:marRight w:val="0"/>
      <w:marTop w:val="0"/>
      <w:marBottom w:val="0"/>
      <w:divBdr>
        <w:top w:val="none" w:sz="0" w:space="0" w:color="auto"/>
        <w:left w:val="none" w:sz="0" w:space="0" w:color="auto"/>
        <w:bottom w:val="none" w:sz="0" w:space="0" w:color="auto"/>
        <w:right w:val="none" w:sz="0" w:space="0" w:color="auto"/>
      </w:divBdr>
    </w:div>
    <w:div w:id="1654866824">
      <w:bodyDiv w:val="1"/>
      <w:marLeft w:val="0"/>
      <w:marRight w:val="0"/>
      <w:marTop w:val="0"/>
      <w:marBottom w:val="0"/>
      <w:divBdr>
        <w:top w:val="none" w:sz="0" w:space="0" w:color="auto"/>
        <w:left w:val="none" w:sz="0" w:space="0" w:color="auto"/>
        <w:bottom w:val="none" w:sz="0" w:space="0" w:color="auto"/>
        <w:right w:val="none" w:sz="0" w:space="0" w:color="auto"/>
      </w:divBdr>
    </w:div>
    <w:div w:id="1677076132">
      <w:bodyDiv w:val="1"/>
      <w:marLeft w:val="0"/>
      <w:marRight w:val="0"/>
      <w:marTop w:val="0"/>
      <w:marBottom w:val="0"/>
      <w:divBdr>
        <w:top w:val="none" w:sz="0" w:space="0" w:color="auto"/>
        <w:left w:val="none" w:sz="0" w:space="0" w:color="auto"/>
        <w:bottom w:val="none" w:sz="0" w:space="0" w:color="auto"/>
        <w:right w:val="none" w:sz="0" w:space="0" w:color="auto"/>
      </w:divBdr>
      <w:divsChild>
        <w:div w:id="1502813312">
          <w:marLeft w:val="0"/>
          <w:marRight w:val="0"/>
          <w:marTop w:val="0"/>
          <w:marBottom w:val="0"/>
          <w:divBdr>
            <w:top w:val="none" w:sz="0" w:space="0" w:color="auto"/>
            <w:left w:val="none" w:sz="0" w:space="0" w:color="auto"/>
            <w:bottom w:val="none" w:sz="0" w:space="0" w:color="auto"/>
            <w:right w:val="none" w:sz="0" w:space="0" w:color="auto"/>
          </w:divBdr>
          <w:divsChild>
            <w:div w:id="866604424">
              <w:marLeft w:val="0"/>
              <w:marRight w:val="0"/>
              <w:marTop w:val="0"/>
              <w:marBottom w:val="0"/>
              <w:divBdr>
                <w:top w:val="none" w:sz="0" w:space="0" w:color="auto"/>
                <w:left w:val="none" w:sz="0" w:space="0" w:color="auto"/>
                <w:bottom w:val="none" w:sz="0" w:space="0" w:color="auto"/>
                <w:right w:val="none" w:sz="0" w:space="0" w:color="auto"/>
              </w:divBdr>
              <w:divsChild>
                <w:div w:id="568812065">
                  <w:marLeft w:val="0"/>
                  <w:marRight w:val="0"/>
                  <w:marTop w:val="0"/>
                  <w:marBottom w:val="0"/>
                  <w:divBdr>
                    <w:top w:val="none" w:sz="0" w:space="0" w:color="auto"/>
                    <w:left w:val="none" w:sz="0" w:space="0" w:color="auto"/>
                    <w:bottom w:val="none" w:sz="0" w:space="0" w:color="auto"/>
                    <w:right w:val="none" w:sz="0" w:space="0" w:color="auto"/>
                  </w:divBdr>
                  <w:divsChild>
                    <w:div w:id="1193106152">
                      <w:marLeft w:val="0"/>
                      <w:marRight w:val="0"/>
                      <w:marTop w:val="0"/>
                      <w:marBottom w:val="0"/>
                      <w:divBdr>
                        <w:top w:val="none" w:sz="0" w:space="0" w:color="auto"/>
                        <w:left w:val="none" w:sz="0" w:space="0" w:color="auto"/>
                        <w:bottom w:val="none" w:sz="0" w:space="0" w:color="auto"/>
                        <w:right w:val="none" w:sz="0" w:space="0" w:color="auto"/>
                      </w:divBdr>
                      <w:divsChild>
                        <w:div w:id="1383863533">
                          <w:marLeft w:val="0"/>
                          <w:marRight w:val="0"/>
                          <w:marTop w:val="0"/>
                          <w:marBottom w:val="0"/>
                          <w:divBdr>
                            <w:top w:val="none" w:sz="0" w:space="0" w:color="auto"/>
                            <w:left w:val="none" w:sz="0" w:space="0" w:color="auto"/>
                            <w:bottom w:val="none" w:sz="0" w:space="0" w:color="auto"/>
                            <w:right w:val="none" w:sz="0" w:space="0" w:color="auto"/>
                          </w:divBdr>
                          <w:divsChild>
                            <w:div w:id="149518837">
                              <w:marLeft w:val="0"/>
                              <w:marRight w:val="0"/>
                              <w:marTop w:val="0"/>
                              <w:marBottom w:val="0"/>
                              <w:divBdr>
                                <w:top w:val="none" w:sz="0" w:space="0" w:color="auto"/>
                                <w:left w:val="none" w:sz="0" w:space="0" w:color="auto"/>
                                <w:bottom w:val="none" w:sz="0" w:space="0" w:color="auto"/>
                                <w:right w:val="none" w:sz="0" w:space="0" w:color="auto"/>
                              </w:divBdr>
                              <w:divsChild>
                                <w:div w:id="702483891">
                                  <w:marLeft w:val="0"/>
                                  <w:marRight w:val="0"/>
                                  <w:marTop w:val="0"/>
                                  <w:marBottom w:val="0"/>
                                  <w:divBdr>
                                    <w:top w:val="none" w:sz="0" w:space="0" w:color="auto"/>
                                    <w:left w:val="none" w:sz="0" w:space="0" w:color="auto"/>
                                    <w:bottom w:val="none" w:sz="0" w:space="0" w:color="auto"/>
                                    <w:right w:val="none" w:sz="0" w:space="0" w:color="auto"/>
                                  </w:divBdr>
                                  <w:divsChild>
                                    <w:div w:id="1031152947">
                                      <w:marLeft w:val="0"/>
                                      <w:marRight w:val="0"/>
                                      <w:marTop w:val="0"/>
                                      <w:marBottom w:val="0"/>
                                      <w:divBdr>
                                        <w:top w:val="none" w:sz="0" w:space="0" w:color="auto"/>
                                        <w:left w:val="none" w:sz="0" w:space="0" w:color="auto"/>
                                        <w:bottom w:val="none" w:sz="0" w:space="0" w:color="auto"/>
                                        <w:right w:val="none" w:sz="0" w:space="0" w:color="auto"/>
                                      </w:divBdr>
                                      <w:divsChild>
                                        <w:div w:id="1555509486">
                                          <w:marLeft w:val="0"/>
                                          <w:marRight w:val="0"/>
                                          <w:marTop w:val="0"/>
                                          <w:marBottom w:val="0"/>
                                          <w:divBdr>
                                            <w:top w:val="none" w:sz="0" w:space="0" w:color="auto"/>
                                            <w:left w:val="none" w:sz="0" w:space="0" w:color="auto"/>
                                            <w:bottom w:val="none" w:sz="0" w:space="0" w:color="auto"/>
                                            <w:right w:val="none" w:sz="0" w:space="0" w:color="auto"/>
                                          </w:divBdr>
                                          <w:divsChild>
                                            <w:div w:id="1385982212">
                                              <w:marLeft w:val="0"/>
                                              <w:marRight w:val="0"/>
                                              <w:marTop w:val="0"/>
                                              <w:marBottom w:val="0"/>
                                              <w:divBdr>
                                                <w:top w:val="none" w:sz="0" w:space="0" w:color="auto"/>
                                                <w:left w:val="none" w:sz="0" w:space="0" w:color="auto"/>
                                                <w:bottom w:val="none" w:sz="0" w:space="0" w:color="auto"/>
                                                <w:right w:val="none" w:sz="0" w:space="0" w:color="auto"/>
                                              </w:divBdr>
                                              <w:divsChild>
                                                <w:div w:id="1513492036">
                                                  <w:marLeft w:val="0"/>
                                                  <w:marRight w:val="0"/>
                                                  <w:marTop w:val="0"/>
                                                  <w:marBottom w:val="0"/>
                                                  <w:divBdr>
                                                    <w:top w:val="none" w:sz="0" w:space="0" w:color="auto"/>
                                                    <w:left w:val="none" w:sz="0" w:space="0" w:color="auto"/>
                                                    <w:bottom w:val="none" w:sz="0" w:space="0" w:color="auto"/>
                                                    <w:right w:val="none" w:sz="0" w:space="0" w:color="auto"/>
                                                  </w:divBdr>
                                                  <w:divsChild>
                                                    <w:div w:id="610282021">
                                                      <w:marLeft w:val="0"/>
                                                      <w:marRight w:val="0"/>
                                                      <w:marTop w:val="0"/>
                                                      <w:marBottom w:val="0"/>
                                                      <w:divBdr>
                                                        <w:top w:val="none" w:sz="0" w:space="0" w:color="auto"/>
                                                        <w:left w:val="none" w:sz="0" w:space="0" w:color="auto"/>
                                                        <w:bottom w:val="none" w:sz="0" w:space="0" w:color="auto"/>
                                                        <w:right w:val="none" w:sz="0" w:space="0" w:color="auto"/>
                                                      </w:divBdr>
                                                      <w:divsChild>
                                                        <w:div w:id="1350134485">
                                                          <w:marLeft w:val="0"/>
                                                          <w:marRight w:val="0"/>
                                                          <w:marTop w:val="0"/>
                                                          <w:marBottom w:val="0"/>
                                                          <w:divBdr>
                                                            <w:top w:val="none" w:sz="0" w:space="0" w:color="auto"/>
                                                            <w:left w:val="none" w:sz="0" w:space="0" w:color="auto"/>
                                                            <w:bottom w:val="none" w:sz="0" w:space="0" w:color="auto"/>
                                                            <w:right w:val="none" w:sz="0" w:space="0" w:color="auto"/>
                                                          </w:divBdr>
                                                          <w:divsChild>
                                                            <w:div w:id="5131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4274">
              <w:marLeft w:val="0"/>
              <w:marRight w:val="0"/>
              <w:marTop w:val="0"/>
              <w:marBottom w:val="0"/>
              <w:divBdr>
                <w:top w:val="none" w:sz="0" w:space="0" w:color="auto"/>
                <w:left w:val="none" w:sz="0" w:space="0" w:color="auto"/>
                <w:bottom w:val="none" w:sz="0" w:space="0" w:color="auto"/>
                <w:right w:val="none" w:sz="0" w:space="0" w:color="auto"/>
              </w:divBdr>
              <w:divsChild>
                <w:div w:id="1484927968">
                  <w:marLeft w:val="0"/>
                  <w:marRight w:val="0"/>
                  <w:marTop w:val="0"/>
                  <w:marBottom w:val="0"/>
                  <w:divBdr>
                    <w:top w:val="none" w:sz="0" w:space="0" w:color="auto"/>
                    <w:left w:val="none" w:sz="0" w:space="0" w:color="auto"/>
                    <w:bottom w:val="none" w:sz="0" w:space="0" w:color="auto"/>
                    <w:right w:val="none" w:sz="0" w:space="0" w:color="auto"/>
                  </w:divBdr>
                  <w:divsChild>
                    <w:div w:id="943996814">
                      <w:marLeft w:val="0"/>
                      <w:marRight w:val="0"/>
                      <w:marTop w:val="0"/>
                      <w:marBottom w:val="0"/>
                      <w:divBdr>
                        <w:top w:val="none" w:sz="0" w:space="0" w:color="auto"/>
                        <w:left w:val="none" w:sz="0" w:space="0" w:color="auto"/>
                        <w:bottom w:val="none" w:sz="0" w:space="0" w:color="auto"/>
                        <w:right w:val="none" w:sz="0" w:space="0" w:color="auto"/>
                      </w:divBdr>
                      <w:divsChild>
                        <w:div w:id="2119912445">
                          <w:marLeft w:val="0"/>
                          <w:marRight w:val="0"/>
                          <w:marTop w:val="0"/>
                          <w:marBottom w:val="0"/>
                          <w:divBdr>
                            <w:top w:val="none" w:sz="0" w:space="0" w:color="auto"/>
                            <w:left w:val="none" w:sz="0" w:space="0" w:color="auto"/>
                            <w:bottom w:val="none" w:sz="0" w:space="0" w:color="auto"/>
                            <w:right w:val="none" w:sz="0" w:space="0" w:color="auto"/>
                          </w:divBdr>
                          <w:divsChild>
                            <w:div w:id="1926912506">
                              <w:marLeft w:val="0"/>
                              <w:marRight w:val="0"/>
                              <w:marTop w:val="0"/>
                              <w:marBottom w:val="0"/>
                              <w:divBdr>
                                <w:top w:val="none" w:sz="0" w:space="0" w:color="auto"/>
                                <w:left w:val="none" w:sz="0" w:space="0" w:color="auto"/>
                                <w:bottom w:val="none" w:sz="0" w:space="0" w:color="auto"/>
                                <w:right w:val="none" w:sz="0" w:space="0" w:color="auto"/>
                              </w:divBdr>
                              <w:divsChild>
                                <w:div w:id="563027276">
                                  <w:marLeft w:val="0"/>
                                  <w:marRight w:val="0"/>
                                  <w:marTop w:val="0"/>
                                  <w:marBottom w:val="0"/>
                                  <w:divBdr>
                                    <w:top w:val="none" w:sz="0" w:space="0" w:color="auto"/>
                                    <w:left w:val="none" w:sz="0" w:space="0" w:color="auto"/>
                                    <w:bottom w:val="none" w:sz="0" w:space="0" w:color="auto"/>
                                    <w:right w:val="none" w:sz="0" w:space="0" w:color="auto"/>
                                  </w:divBdr>
                                  <w:divsChild>
                                    <w:div w:id="1325280884">
                                      <w:marLeft w:val="0"/>
                                      <w:marRight w:val="0"/>
                                      <w:marTop w:val="0"/>
                                      <w:marBottom w:val="0"/>
                                      <w:divBdr>
                                        <w:top w:val="none" w:sz="0" w:space="0" w:color="auto"/>
                                        <w:left w:val="none" w:sz="0" w:space="0" w:color="auto"/>
                                        <w:bottom w:val="none" w:sz="0" w:space="0" w:color="auto"/>
                                        <w:right w:val="none" w:sz="0" w:space="0" w:color="auto"/>
                                      </w:divBdr>
                                      <w:divsChild>
                                        <w:div w:id="1935356597">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1151291699">
                                                  <w:marLeft w:val="0"/>
                                                  <w:marRight w:val="0"/>
                                                  <w:marTop w:val="0"/>
                                                  <w:marBottom w:val="0"/>
                                                  <w:divBdr>
                                                    <w:top w:val="none" w:sz="0" w:space="0" w:color="auto"/>
                                                    <w:left w:val="none" w:sz="0" w:space="0" w:color="auto"/>
                                                    <w:bottom w:val="none" w:sz="0" w:space="0" w:color="auto"/>
                                                    <w:right w:val="none" w:sz="0" w:space="0" w:color="auto"/>
                                                  </w:divBdr>
                                                  <w:divsChild>
                                                    <w:div w:id="629745108">
                                                      <w:marLeft w:val="0"/>
                                                      <w:marRight w:val="0"/>
                                                      <w:marTop w:val="0"/>
                                                      <w:marBottom w:val="0"/>
                                                      <w:divBdr>
                                                        <w:top w:val="none" w:sz="0" w:space="0" w:color="auto"/>
                                                        <w:left w:val="none" w:sz="0" w:space="0" w:color="auto"/>
                                                        <w:bottom w:val="none" w:sz="0" w:space="0" w:color="auto"/>
                                                        <w:right w:val="none" w:sz="0" w:space="0" w:color="auto"/>
                                                      </w:divBdr>
                                                      <w:divsChild>
                                                        <w:div w:id="697900679">
                                                          <w:marLeft w:val="0"/>
                                                          <w:marRight w:val="0"/>
                                                          <w:marTop w:val="0"/>
                                                          <w:marBottom w:val="0"/>
                                                          <w:divBdr>
                                                            <w:top w:val="none" w:sz="0" w:space="0" w:color="auto"/>
                                                            <w:left w:val="none" w:sz="0" w:space="0" w:color="auto"/>
                                                            <w:bottom w:val="none" w:sz="0" w:space="0" w:color="auto"/>
                                                            <w:right w:val="none" w:sz="0" w:space="0" w:color="auto"/>
                                                          </w:divBdr>
                                                          <w:divsChild>
                                                            <w:div w:id="228656046">
                                                              <w:marLeft w:val="0"/>
                                                              <w:marRight w:val="0"/>
                                                              <w:marTop w:val="0"/>
                                                              <w:marBottom w:val="0"/>
                                                              <w:divBdr>
                                                                <w:top w:val="none" w:sz="0" w:space="0" w:color="auto"/>
                                                                <w:left w:val="none" w:sz="0" w:space="0" w:color="auto"/>
                                                                <w:bottom w:val="none" w:sz="0" w:space="0" w:color="auto"/>
                                                                <w:right w:val="none" w:sz="0" w:space="0" w:color="auto"/>
                                                              </w:divBdr>
                                                              <w:divsChild>
                                                                <w:div w:id="233006172">
                                                                  <w:marLeft w:val="0"/>
                                                                  <w:marRight w:val="0"/>
                                                                  <w:marTop w:val="0"/>
                                                                  <w:marBottom w:val="0"/>
                                                                  <w:divBdr>
                                                                    <w:top w:val="none" w:sz="0" w:space="0" w:color="auto"/>
                                                                    <w:left w:val="none" w:sz="0" w:space="0" w:color="auto"/>
                                                                    <w:bottom w:val="none" w:sz="0" w:space="0" w:color="auto"/>
                                                                    <w:right w:val="none" w:sz="0" w:space="0" w:color="auto"/>
                                                                  </w:divBdr>
                                                                  <w:divsChild>
                                                                    <w:div w:id="1693455328">
                                                                      <w:marLeft w:val="0"/>
                                                                      <w:marRight w:val="0"/>
                                                                      <w:marTop w:val="0"/>
                                                                      <w:marBottom w:val="0"/>
                                                                      <w:divBdr>
                                                                        <w:top w:val="none" w:sz="0" w:space="0" w:color="auto"/>
                                                                        <w:left w:val="none" w:sz="0" w:space="0" w:color="auto"/>
                                                                        <w:bottom w:val="none" w:sz="0" w:space="0" w:color="auto"/>
                                                                        <w:right w:val="none" w:sz="0" w:space="0" w:color="auto"/>
                                                                      </w:divBdr>
                                                                      <w:divsChild>
                                                                        <w:div w:id="1322780241">
                                                                          <w:marLeft w:val="0"/>
                                                                          <w:marRight w:val="0"/>
                                                                          <w:marTop w:val="0"/>
                                                                          <w:marBottom w:val="0"/>
                                                                          <w:divBdr>
                                                                            <w:top w:val="none" w:sz="0" w:space="0" w:color="auto"/>
                                                                            <w:left w:val="none" w:sz="0" w:space="0" w:color="auto"/>
                                                                            <w:bottom w:val="none" w:sz="0" w:space="0" w:color="auto"/>
                                                                            <w:right w:val="none" w:sz="0" w:space="0" w:color="auto"/>
                                                                          </w:divBdr>
                                                                          <w:divsChild>
                                                                            <w:div w:id="287008053">
                                                                              <w:marLeft w:val="0"/>
                                                                              <w:marRight w:val="0"/>
                                                                              <w:marTop w:val="0"/>
                                                                              <w:marBottom w:val="0"/>
                                                                              <w:divBdr>
                                                                                <w:top w:val="none" w:sz="0" w:space="0" w:color="auto"/>
                                                                                <w:left w:val="none" w:sz="0" w:space="0" w:color="auto"/>
                                                                                <w:bottom w:val="none" w:sz="0" w:space="0" w:color="auto"/>
                                                                                <w:right w:val="none" w:sz="0" w:space="0" w:color="auto"/>
                                                                              </w:divBdr>
                                                                              <w:divsChild>
                                                                                <w:div w:id="607665644">
                                                                                  <w:marLeft w:val="0"/>
                                                                                  <w:marRight w:val="0"/>
                                                                                  <w:marTop w:val="0"/>
                                                                                  <w:marBottom w:val="0"/>
                                                                                  <w:divBdr>
                                                                                    <w:top w:val="none" w:sz="0" w:space="0" w:color="auto"/>
                                                                                    <w:left w:val="none" w:sz="0" w:space="0" w:color="auto"/>
                                                                                    <w:bottom w:val="none" w:sz="0" w:space="0" w:color="auto"/>
                                                                                    <w:right w:val="none" w:sz="0" w:space="0" w:color="auto"/>
                                                                                  </w:divBdr>
                                                                                  <w:divsChild>
                                                                                    <w:div w:id="167790658">
                                                                                      <w:marLeft w:val="0"/>
                                                                                      <w:marRight w:val="0"/>
                                                                                      <w:marTop w:val="0"/>
                                                                                      <w:marBottom w:val="0"/>
                                                                                      <w:divBdr>
                                                                                        <w:top w:val="none" w:sz="0" w:space="0" w:color="auto"/>
                                                                                        <w:left w:val="none" w:sz="0" w:space="0" w:color="auto"/>
                                                                                        <w:bottom w:val="none" w:sz="0" w:space="0" w:color="auto"/>
                                                                                        <w:right w:val="none" w:sz="0" w:space="0" w:color="auto"/>
                                                                                      </w:divBdr>
                                                                                      <w:divsChild>
                                                                                        <w:div w:id="1878619302">
                                                                                          <w:marLeft w:val="0"/>
                                                                                          <w:marRight w:val="450"/>
                                                                                          <w:marTop w:val="0"/>
                                                                                          <w:marBottom w:val="0"/>
                                                                                          <w:divBdr>
                                                                                            <w:top w:val="none" w:sz="0" w:space="0" w:color="auto"/>
                                                                                            <w:left w:val="none" w:sz="0" w:space="0" w:color="auto"/>
                                                                                            <w:bottom w:val="none" w:sz="0" w:space="0" w:color="auto"/>
                                                                                            <w:right w:val="none" w:sz="0" w:space="0" w:color="auto"/>
                                                                                          </w:divBdr>
                                                                                        </w:div>
                                                                                        <w:div w:id="1062870130">
                                                                                          <w:marLeft w:val="0"/>
                                                                                          <w:marRight w:val="450"/>
                                                                                          <w:marTop w:val="0"/>
                                                                                          <w:marBottom w:val="0"/>
                                                                                          <w:divBdr>
                                                                                            <w:top w:val="none" w:sz="0" w:space="0" w:color="auto"/>
                                                                                            <w:left w:val="none" w:sz="0" w:space="0" w:color="auto"/>
                                                                                            <w:bottom w:val="none" w:sz="0" w:space="0" w:color="auto"/>
                                                                                            <w:right w:val="none" w:sz="0" w:space="0" w:color="auto"/>
                                                                                          </w:divBdr>
                                                                                        </w:div>
                                                                                        <w:div w:id="1531532358">
                                                                                          <w:marLeft w:val="0"/>
                                                                                          <w:marRight w:val="0"/>
                                                                                          <w:marTop w:val="0"/>
                                                                                          <w:marBottom w:val="0"/>
                                                                                          <w:divBdr>
                                                                                            <w:top w:val="none" w:sz="0" w:space="0" w:color="auto"/>
                                                                                            <w:left w:val="none" w:sz="0" w:space="0" w:color="auto"/>
                                                                                            <w:bottom w:val="none" w:sz="0" w:space="0" w:color="auto"/>
                                                                                            <w:right w:val="none" w:sz="0" w:space="0" w:color="auto"/>
                                                                                          </w:divBdr>
                                                                                        </w:div>
                                                                                        <w:div w:id="4085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59982">
                                                                  <w:marLeft w:val="0"/>
                                                                  <w:marRight w:val="0"/>
                                                                  <w:marTop w:val="0"/>
                                                                  <w:marBottom w:val="0"/>
                                                                  <w:divBdr>
                                                                    <w:top w:val="none" w:sz="0" w:space="0" w:color="auto"/>
                                                                    <w:left w:val="none" w:sz="0" w:space="0" w:color="auto"/>
                                                                    <w:bottom w:val="none" w:sz="0" w:space="0" w:color="auto"/>
                                                                    <w:right w:val="none" w:sz="0" w:space="0" w:color="auto"/>
                                                                  </w:divBdr>
                                                                  <w:divsChild>
                                                                    <w:div w:id="371198820">
                                                                      <w:marLeft w:val="0"/>
                                                                      <w:marRight w:val="0"/>
                                                                      <w:marTop w:val="0"/>
                                                                      <w:marBottom w:val="0"/>
                                                                      <w:divBdr>
                                                                        <w:top w:val="none" w:sz="0" w:space="0" w:color="auto"/>
                                                                        <w:left w:val="none" w:sz="0" w:space="0" w:color="auto"/>
                                                                        <w:bottom w:val="none" w:sz="0" w:space="0" w:color="auto"/>
                                                                        <w:right w:val="none" w:sz="0" w:space="0" w:color="auto"/>
                                                                      </w:divBdr>
                                                                      <w:divsChild>
                                                                        <w:div w:id="432939264">
                                                                          <w:marLeft w:val="0"/>
                                                                          <w:marRight w:val="0"/>
                                                                          <w:marTop w:val="0"/>
                                                                          <w:marBottom w:val="0"/>
                                                                          <w:divBdr>
                                                                            <w:top w:val="none" w:sz="0" w:space="0" w:color="auto"/>
                                                                            <w:left w:val="none" w:sz="0" w:space="0" w:color="auto"/>
                                                                            <w:bottom w:val="none" w:sz="0" w:space="0" w:color="auto"/>
                                                                            <w:right w:val="none" w:sz="0" w:space="0" w:color="auto"/>
                                                                          </w:divBdr>
                                                                          <w:divsChild>
                                                                            <w:div w:id="1606302541">
                                                                              <w:marLeft w:val="0"/>
                                                                              <w:marRight w:val="0"/>
                                                                              <w:marTop w:val="0"/>
                                                                              <w:marBottom w:val="0"/>
                                                                              <w:divBdr>
                                                                                <w:top w:val="none" w:sz="0" w:space="0" w:color="auto"/>
                                                                                <w:left w:val="none" w:sz="0" w:space="0" w:color="auto"/>
                                                                                <w:bottom w:val="none" w:sz="0" w:space="0" w:color="auto"/>
                                                                                <w:right w:val="none" w:sz="0" w:space="0" w:color="auto"/>
                                                                              </w:divBdr>
                                                                              <w:divsChild>
                                                                                <w:div w:id="1219626911">
                                                                                  <w:marLeft w:val="0"/>
                                                                                  <w:marRight w:val="0"/>
                                                                                  <w:marTop w:val="0"/>
                                                                                  <w:marBottom w:val="0"/>
                                                                                  <w:divBdr>
                                                                                    <w:top w:val="none" w:sz="0" w:space="0" w:color="auto"/>
                                                                                    <w:left w:val="none" w:sz="0" w:space="0" w:color="auto"/>
                                                                                    <w:bottom w:val="none" w:sz="0" w:space="0" w:color="auto"/>
                                                                                    <w:right w:val="none" w:sz="0" w:space="0" w:color="auto"/>
                                                                                  </w:divBdr>
                                                                                  <w:divsChild>
                                                                                    <w:div w:id="1215384590">
                                                                                      <w:marLeft w:val="0"/>
                                                                                      <w:marRight w:val="0"/>
                                                                                      <w:marTop w:val="0"/>
                                                                                      <w:marBottom w:val="0"/>
                                                                                      <w:divBdr>
                                                                                        <w:top w:val="none" w:sz="0" w:space="0" w:color="auto"/>
                                                                                        <w:left w:val="none" w:sz="0" w:space="0" w:color="auto"/>
                                                                                        <w:bottom w:val="none" w:sz="0" w:space="0" w:color="auto"/>
                                                                                        <w:right w:val="none" w:sz="0" w:space="0" w:color="auto"/>
                                                                                      </w:divBdr>
                                                                                    </w:div>
                                                                                    <w:div w:id="14739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498802">
      <w:bodyDiv w:val="1"/>
      <w:marLeft w:val="0"/>
      <w:marRight w:val="0"/>
      <w:marTop w:val="0"/>
      <w:marBottom w:val="0"/>
      <w:divBdr>
        <w:top w:val="none" w:sz="0" w:space="0" w:color="auto"/>
        <w:left w:val="none" w:sz="0" w:space="0" w:color="auto"/>
        <w:bottom w:val="none" w:sz="0" w:space="0" w:color="auto"/>
        <w:right w:val="none" w:sz="0" w:space="0" w:color="auto"/>
      </w:divBdr>
      <w:divsChild>
        <w:div w:id="14617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yperlink" Target="http://www.countyhealthrankings.org/missouri/pulaski/11" TargetMode="External"/><Relationship Id="rId39" Type="http://schemas.openxmlformats.org/officeDocument/2006/relationships/hyperlink" Target="http://www.countyhealthrankings.org/missouri/pulaski/24" TargetMode="External"/><Relationship Id="rId21" Type="http://schemas.openxmlformats.org/officeDocument/2006/relationships/hyperlink" Target="http://www.countyhealthrankings.org/missouri/pulaski/2" TargetMode="External"/><Relationship Id="rId34" Type="http://schemas.openxmlformats.org/officeDocument/2006/relationships/hyperlink" Target="http://www.countyhealthrankings.org/missouri/pulaski/7" TargetMode="External"/><Relationship Id="rId42" Type="http://schemas.openxmlformats.org/officeDocument/2006/relationships/hyperlink" Target="http://www.countyhealthrankings.org/missouri/pulaski/28" TargetMode="External"/><Relationship Id="rId47" Type="http://schemas.openxmlformats.org/officeDocument/2006/relationships/hyperlink" Target="http://www.countyhealthrankings.org/missouri/pulaski/41" TargetMode="External"/><Relationship Id="rId50" Type="http://schemas.openxmlformats.org/officeDocument/2006/relationships/hyperlink" Target="http://www.dhss.mo.gov/profiles/SocialandEconomic/index.html?cnty=929" TargetMode="External"/><Relationship Id="rId55" Type="http://schemas.openxmlformats.org/officeDocument/2006/relationships/hyperlink" Target="http://www.dhss.mo.gov/ASPsPFP/header.php?cnty=169"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http://www.countyhealthrankings.org/missouri/pulaski/9" TargetMode="External"/><Relationship Id="rId33" Type="http://schemas.openxmlformats.org/officeDocument/2006/relationships/hyperlink" Target="http://www.countyhealthrankings.org/missouri/pulaski/5" TargetMode="External"/><Relationship Id="rId38" Type="http://schemas.openxmlformats.org/officeDocument/2006/relationships/hyperlink" Target="http://www.countyhealthrankings.org/missouri/pulaski/23" TargetMode="External"/><Relationship Id="rId46" Type="http://schemas.openxmlformats.org/officeDocument/2006/relationships/hyperlink" Target="http://www.countyhealthrankings.org/missouri/pulaski/3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countyhealthrankings.org/missouri/pulaski/1" TargetMode="External"/><Relationship Id="rId29" Type="http://schemas.openxmlformats.org/officeDocument/2006/relationships/hyperlink" Target="http://www.countyhealthrankings.org/missouri/pulaski/45" TargetMode="External"/><Relationship Id="rId41" Type="http://schemas.openxmlformats.org/officeDocument/2006/relationships/hyperlink" Target="http://www.countyhealthrankings.org/missouri/pulaski/40" TargetMode="External"/><Relationship Id="rId54" Type="http://schemas.openxmlformats.org/officeDocument/2006/relationships/hyperlink" Target="http://www.dhss.mo.gov/WICMIC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countyhealthrankings.org/missouri/pulaski/37" TargetMode="External"/><Relationship Id="rId32" Type="http://schemas.openxmlformats.org/officeDocument/2006/relationships/hyperlink" Target="http://www.countyhealthrankings.org/missouri/pulaski/4" TargetMode="External"/><Relationship Id="rId37" Type="http://schemas.openxmlformats.org/officeDocument/2006/relationships/hyperlink" Target="http://www.countyhealthrankings.org/missouri/pulaski/22" TargetMode="External"/><Relationship Id="rId40" Type="http://schemas.openxmlformats.org/officeDocument/2006/relationships/hyperlink" Target="http://www.countyhealthrankings.org/missouri/pulaski/44" TargetMode="External"/><Relationship Id="rId45" Type="http://schemas.openxmlformats.org/officeDocument/2006/relationships/hyperlink" Target="http://www.countyhealthrankings.org/missouri/pulaski/29" TargetMode="External"/><Relationship Id="rId53" Type="http://schemas.openxmlformats.org/officeDocument/2006/relationships/hyperlink" Target="http://www.dhss.mo.gov/ASPsPrenatal/header.php?cnty=169"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countyhealthrankings.org/missouri/pulaski/42" TargetMode="External"/><Relationship Id="rId28" Type="http://schemas.openxmlformats.org/officeDocument/2006/relationships/hyperlink" Target="http://www.countyhealthrankings.org/missouri/pulaski/39" TargetMode="External"/><Relationship Id="rId36" Type="http://schemas.openxmlformats.org/officeDocument/2006/relationships/hyperlink" Target="http://www.countyhealthrankings.org/missouri/pulaski/21" TargetMode="External"/><Relationship Id="rId49" Type="http://schemas.openxmlformats.org/officeDocument/2006/relationships/hyperlink" Target="http://www.dhss.mo.gov/mica/population.php" TargetMode="External"/><Relationship Id="rId57" Type="http://schemas.openxmlformats.org/officeDocument/2006/relationships/hyperlink" Target="http://www.oseda.missouri.edu/trendltr/yr2002/missouri_physicians_2000.html"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hyperlink" Target="http://www.countyhealthrankings.org/missouri/pulaski/3" TargetMode="External"/><Relationship Id="rId44" Type="http://schemas.openxmlformats.org/officeDocument/2006/relationships/hyperlink" Target="http://www.countyhealthrankings.org/missouri/pulaski/46" TargetMode="External"/><Relationship Id="rId52" Type="http://schemas.openxmlformats.org/officeDocument/2006/relationships/hyperlink" Target="http://www.dhss.mo.gov/ASPsDeath/header.php?cnty=16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hyperlink" Target="http://www.countyhealthrankings.org/missouri/pulaski/36" TargetMode="External"/><Relationship Id="rId27" Type="http://schemas.openxmlformats.org/officeDocument/2006/relationships/hyperlink" Target="http://www.countyhealthrankings.org/missouri/pulaski/12" TargetMode="External"/><Relationship Id="rId30" Type="http://schemas.openxmlformats.org/officeDocument/2006/relationships/hyperlink" Target="http://www.countyhealthrankings.org/missouri/pulaski/14" TargetMode="External"/><Relationship Id="rId35" Type="http://schemas.openxmlformats.org/officeDocument/2006/relationships/hyperlink" Target="http://www.countyhealthrankings.org/missouri/pulaski/38" TargetMode="External"/><Relationship Id="rId43" Type="http://schemas.openxmlformats.org/officeDocument/2006/relationships/hyperlink" Target="http://www.countyhealthrankings.org/missouri/pulaski/43" TargetMode="External"/><Relationship Id="rId48" Type="http://schemas.openxmlformats.org/officeDocument/2006/relationships/image" Target="media/image4.gif"/><Relationship Id="rId56" Type="http://schemas.openxmlformats.org/officeDocument/2006/relationships/hyperlink" Target="http://www.countyhealthrankings.org/missouri/pulaski" TargetMode="External"/><Relationship Id="rId8" Type="http://schemas.openxmlformats.org/officeDocument/2006/relationships/image" Target="media/image1.jpeg"/><Relationship Id="rId51" Type="http://schemas.openxmlformats.org/officeDocument/2006/relationships/hyperlink" Target="http://www.dhss.mo.gov/ASPsChildHealth/Main.php?cnty=169"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wner\Local%20Settings\Temporary%20Internet%20Files\Content.IE5\GFDDRX8W\download%5b1%5d.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wner\Local%20Settings\Temporary%20Internet%20Files\Content.IE5\TR3W2RBA\download%5b1%5d.csv"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Owner\Local%20Settings\Temporary%20Internet%20Files\Content.IE5\HK6URNRY\download%5b3%5d.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Owner\Local%20Settings\Temporary%20Internet%20Files\Content.IE5\GFDDRX8W\download%5b2%5d.csv"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Pulaski County Population, 2009</a:t>
            </a:r>
          </a:p>
        </c:rich>
      </c:tx>
      <c:overlay val="0"/>
    </c:title>
    <c:autoTitleDeleted val="0"/>
    <c:plotArea>
      <c:layout/>
      <c:barChart>
        <c:barDir val="col"/>
        <c:grouping val="clustered"/>
        <c:varyColors val="0"/>
        <c:ser>
          <c:idx val="0"/>
          <c:order val="0"/>
          <c:tx>
            <c:v>Census</c:v>
          </c:tx>
          <c:invertIfNegative val="0"/>
          <c:cat>
            <c:numLit>
              <c:formatCode>General</c:formatCode>
              <c:ptCount val="5"/>
              <c:pt idx="0">
                <c:v>2005</c:v>
              </c:pt>
              <c:pt idx="1">
                <c:v>2006</c:v>
              </c:pt>
              <c:pt idx="2">
                <c:v>2007</c:v>
              </c:pt>
              <c:pt idx="3">
                <c:v>2008</c:v>
              </c:pt>
              <c:pt idx="4">
                <c:v>2009</c:v>
              </c:pt>
            </c:numLit>
          </c:cat>
          <c:val>
            <c:numRef>
              <c:f>'download(1)'!$B$7:$B$11</c:f>
              <c:numCache>
                <c:formatCode>General</c:formatCode>
                <c:ptCount val="5"/>
                <c:pt idx="0">
                  <c:v>43865</c:v>
                </c:pt>
                <c:pt idx="1">
                  <c:v>43742</c:v>
                </c:pt>
                <c:pt idx="2">
                  <c:v>44300</c:v>
                </c:pt>
                <c:pt idx="3">
                  <c:v>44546</c:v>
                </c:pt>
                <c:pt idx="4">
                  <c:v>46457</c:v>
                </c:pt>
              </c:numCache>
            </c:numRef>
          </c:val>
          <c:extLst>
            <c:ext xmlns:c16="http://schemas.microsoft.com/office/drawing/2014/chart" uri="{C3380CC4-5D6E-409C-BE32-E72D297353CC}">
              <c16:uniqueId val="{00000000-2CB3-49D8-89BF-1E0E6D32DD4C}"/>
            </c:ext>
          </c:extLst>
        </c:ser>
        <c:dLbls>
          <c:showLegendKey val="0"/>
          <c:showVal val="0"/>
          <c:showCatName val="0"/>
          <c:showSerName val="0"/>
          <c:showPercent val="0"/>
          <c:showBubbleSize val="0"/>
        </c:dLbls>
        <c:gapWidth val="150"/>
        <c:axId val="81442688"/>
        <c:axId val="98128640"/>
      </c:barChart>
      <c:catAx>
        <c:axId val="81442688"/>
        <c:scaling>
          <c:orientation val="minMax"/>
        </c:scaling>
        <c:delete val="0"/>
        <c:axPos val="b"/>
        <c:numFmt formatCode="General" sourceLinked="1"/>
        <c:majorTickMark val="out"/>
        <c:minorTickMark val="none"/>
        <c:tickLblPos val="nextTo"/>
        <c:crossAx val="98128640"/>
        <c:crosses val="autoZero"/>
        <c:auto val="1"/>
        <c:lblAlgn val="ctr"/>
        <c:lblOffset val="100"/>
        <c:noMultiLvlLbl val="0"/>
      </c:catAx>
      <c:valAx>
        <c:axId val="98128640"/>
        <c:scaling>
          <c:orientation val="minMax"/>
        </c:scaling>
        <c:delete val="0"/>
        <c:axPos val="l"/>
        <c:majorGridlines/>
        <c:numFmt formatCode="General" sourceLinked="1"/>
        <c:majorTickMark val="out"/>
        <c:minorTickMark val="none"/>
        <c:tickLblPos val="nextTo"/>
        <c:crossAx val="81442688"/>
        <c:crosses val="autoZero"/>
        <c:crossBetween val="between"/>
      </c:valAx>
    </c:plotArea>
    <c:legend>
      <c:legendPos val="r"/>
      <c:overlay val="0"/>
    </c:legend>
    <c:plotVisOnly val="1"/>
    <c:dispBlanksAs val="gap"/>
    <c:showDLblsOverMax val="0"/>
  </c:chart>
  <c:spPr>
    <a:effectLst>
      <a:glow rad="101600">
        <a:schemeClr val="accent1">
          <a:satMod val="175000"/>
          <a:alpha val="40000"/>
        </a:schemeClr>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Population Age of Pulaski County, 2009</a:t>
            </a:r>
          </a:p>
        </c:rich>
      </c:tx>
      <c:overlay val="0"/>
    </c:title>
    <c:autoTitleDeleted val="0"/>
    <c:plotArea>
      <c:layout/>
      <c:barChart>
        <c:barDir val="col"/>
        <c:grouping val="clustered"/>
        <c:varyColors val="0"/>
        <c:ser>
          <c:idx val="0"/>
          <c:order val="0"/>
          <c:tx>
            <c:v>Pulaski County</c:v>
          </c:tx>
          <c:invertIfNegative val="0"/>
          <c:cat>
            <c:strLit>
              <c:ptCount val="8"/>
              <c:pt idx="0">
                <c:v>Under 5</c:v>
              </c:pt>
              <c:pt idx="1">
                <c:v> 5-17</c:v>
              </c:pt>
              <c:pt idx="2">
                <c:v> 18-24</c:v>
              </c:pt>
              <c:pt idx="3">
                <c:v> 25-34</c:v>
              </c:pt>
              <c:pt idx="4">
                <c:v> 35-54</c:v>
              </c:pt>
              <c:pt idx="5">
                <c:v> 55-64</c:v>
              </c:pt>
              <c:pt idx="6">
                <c:v> 65-84</c:v>
              </c:pt>
              <c:pt idx="7">
                <c:v> 85 and older</c:v>
              </c:pt>
            </c:strLit>
          </c:cat>
          <c:val>
            <c:numRef>
              <c:f>Sheet1!$A$2:$A$9</c:f>
              <c:numCache>
                <c:formatCode>General</c:formatCode>
                <c:ptCount val="8"/>
                <c:pt idx="0">
                  <c:v>8</c:v>
                </c:pt>
                <c:pt idx="1">
                  <c:v>18.3</c:v>
                </c:pt>
                <c:pt idx="2">
                  <c:v>21.8</c:v>
                </c:pt>
                <c:pt idx="3">
                  <c:v>13.6</c:v>
                </c:pt>
                <c:pt idx="4">
                  <c:v>22.7</c:v>
                </c:pt>
                <c:pt idx="5">
                  <c:v>7.8</c:v>
                </c:pt>
                <c:pt idx="6">
                  <c:v>7.1</c:v>
                </c:pt>
                <c:pt idx="7">
                  <c:v>0.8</c:v>
                </c:pt>
              </c:numCache>
            </c:numRef>
          </c:val>
          <c:extLst>
            <c:ext xmlns:c16="http://schemas.microsoft.com/office/drawing/2014/chart" uri="{C3380CC4-5D6E-409C-BE32-E72D297353CC}">
              <c16:uniqueId val="{00000000-0209-4930-9420-0C28104171D0}"/>
            </c:ext>
          </c:extLst>
        </c:ser>
        <c:ser>
          <c:idx val="1"/>
          <c:order val="1"/>
          <c:tx>
            <c:v>Missouri</c:v>
          </c:tx>
          <c:invertIfNegative val="0"/>
          <c:cat>
            <c:strLit>
              <c:ptCount val="8"/>
              <c:pt idx="0">
                <c:v>Under 5</c:v>
              </c:pt>
              <c:pt idx="1">
                <c:v> 5-17</c:v>
              </c:pt>
              <c:pt idx="2">
                <c:v> 18-24</c:v>
              </c:pt>
              <c:pt idx="3">
                <c:v> 25-34</c:v>
              </c:pt>
              <c:pt idx="4">
                <c:v> 35-54</c:v>
              </c:pt>
              <c:pt idx="5">
                <c:v> 55-64</c:v>
              </c:pt>
              <c:pt idx="6">
                <c:v> 65-84</c:v>
              </c:pt>
              <c:pt idx="7">
                <c:v> 85 and older</c:v>
              </c:pt>
            </c:strLit>
          </c:cat>
          <c:val>
            <c:numRef>
              <c:f>Sheet1!$B$2:$B$9</c:f>
              <c:numCache>
                <c:formatCode>General</c:formatCode>
                <c:ptCount val="8"/>
                <c:pt idx="0">
                  <c:v>6.7</c:v>
                </c:pt>
                <c:pt idx="1">
                  <c:v>17.3</c:v>
                </c:pt>
                <c:pt idx="2">
                  <c:v>9.8000000000000007</c:v>
                </c:pt>
                <c:pt idx="3">
                  <c:v>13.1</c:v>
                </c:pt>
                <c:pt idx="4">
                  <c:v>27.7</c:v>
                </c:pt>
                <c:pt idx="5">
                  <c:v>11.6</c:v>
                </c:pt>
                <c:pt idx="6">
                  <c:v>11.7</c:v>
                </c:pt>
                <c:pt idx="7">
                  <c:v>2</c:v>
                </c:pt>
              </c:numCache>
            </c:numRef>
          </c:val>
          <c:extLst>
            <c:ext xmlns:c16="http://schemas.microsoft.com/office/drawing/2014/chart" uri="{C3380CC4-5D6E-409C-BE32-E72D297353CC}">
              <c16:uniqueId val="{00000001-0209-4930-9420-0C28104171D0}"/>
            </c:ext>
          </c:extLst>
        </c:ser>
        <c:dLbls>
          <c:showLegendKey val="0"/>
          <c:showVal val="0"/>
          <c:showCatName val="0"/>
          <c:showSerName val="0"/>
          <c:showPercent val="0"/>
          <c:showBubbleSize val="0"/>
        </c:dLbls>
        <c:gapWidth val="150"/>
        <c:axId val="98115584"/>
        <c:axId val="98117504"/>
      </c:barChart>
      <c:catAx>
        <c:axId val="98115584"/>
        <c:scaling>
          <c:orientation val="minMax"/>
        </c:scaling>
        <c:delete val="0"/>
        <c:axPos val="b"/>
        <c:title>
          <c:tx>
            <c:rich>
              <a:bodyPr/>
              <a:lstStyle/>
              <a:p>
                <a:pPr>
                  <a:defRPr/>
                </a:pPr>
                <a:r>
                  <a:rPr lang="en-US"/>
                  <a:t>Age Groups</a:t>
                </a:r>
              </a:p>
            </c:rich>
          </c:tx>
          <c:overlay val="0"/>
        </c:title>
        <c:numFmt formatCode="General" sourceLinked="0"/>
        <c:majorTickMark val="out"/>
        <c:minorTickMark val="none"/>
        <c:tickLblPos val="nextTo"/>
        <c:crossAx val="98117504"/>
        <c:crosses val="autoZero"/>
        <c:auto val="1"/>
        <c:lblAlgn val="ctr"/>
        <c:lblOffset val="100"/>
        <c:noMultiLvlLbl val="0"/>
      </c:catAx>
      <c:valAx>
        <c:axId val="98117504"/>
        <c:scaling>
          <c:orientation val="minMax"/>
        </c:scaling>
        <c:delete val="0"/>
        <c:axPos val="l"/>
        <c:majorGridlines/>
        <c:title>
          <c:tx>
            <c:rich>
              <a:bodyPr rot="-5400000" vert="horz"/>
              <a:lstStyle/>
              <a:p>
                <a:pPr>
                  <a:defRPr/>
                </a:pPr>
                <a:r>
                  <a:rPr lang="en-US"/>
                  <a:t>Percentage of Population</a:t>
                </a:r>
              </a:p>
            </c:rich>
          </c:tx>
          <c:overlay val="0"/>
        </c:title>
        <c:numFmt formatCode="General" sourceLinked="1"/>
        <c:majorTickMark val="out"/>
        <c:minorTickMark val="none"/>
        <c:tickLblPos val="nextTo"/>
        <c:crossAx val="98115584"/>
        <c:crosses val="autoZero"/>
        <c:crossBetween val="between"/>
      </c:valAx>
    </c:plotArea>
    <c:legend>
      <c:legendPos val="r"/>
      <c:overlay val="0"/>
    </c:legend>
    <c:plotVisOnly val="1"/>
    <c:dispBlanksAs val="gap"/>
    <c:showDLblsOverMax val="0"/>
  </c:chart>
  <c:spPr>
    <a:effectLst>
      <a:glow rad="101600">
        <a:schemeClr val="accent1">
          <a:satMod val="175000"/>
          <a:alpha val="40000"/>
        </a:schemeClr>
      </a:glo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Jobs by Sector, 2008</a:t>
            </a:r>
          </a:p>
        </c:rich>
      </c:tx>
      <c:overlay val="0"/>
    </c:title>
    <c:autoTitleDeleted val="0"/>
    <c:plotArea>
      <c:layout>
        <c:manualLayout>
          <c:layoutTarget val="inner"/>
          <c:xMode val="edge"/>
          <c:yMode val="edge"/>
          <c:x val="0.11785585877107828"/>
          <c:y val="0.1327742422608133"/>
          <c:w val="0.85702998597778013"/>
          <c:h val="0.4618556070902109"/>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Sheet1!$A$1:$A$9</c:f>
              <c:strCache>
                <c:ptCount val="9"/>
                <c:pt idx="0">
                  <c:v>Military</c:v>
                </c:pt>
                <c:pt idx="1">
                  <c:v>Federal Civilian</c:v>
                </c:pt>
                <c:pt idx="2">
                  <c:v>Lodging/Food Service</c:v>
                </c:pt>
                <c:pt idx="3">
                  <c:v>Retail</c:v>
                </c:pt>
                <c:pt idx="4">
                  <c:v>Local Government</c:v>
                </c:pt>
                <c:pt idx="5">
                  <c:v>Other Services</c:v>
                </c:pt>
                <c:pt idx="6">
                  <c:v>Health Care</c:v>
                </c:pt>
                <c:pt idx="7">
                  <c:v>Construction</c:v>
                </c:pt>
                <c:pt idx="8">
                  <c:v>Professional Services</c:v>
                </c:pt>
              </c:strCache>
            </c:strRef>
          </c:cat>
          <c:val>
            <c:numRef>
              <c:f>Sheet1!$B$1:$B$9</c:f>
              <c:numCache>
                <c:formatCode>General</c:formatCode>
                <c:ptCount val="9"/>
                <c:pt idx="0" formatCode="#,##0">
                  <c:v>42.7</c:v>
                </c:pt>
                <c:pt idx="1">
                  <c:v>12.5</c:v>
                </c:pt>
                <c:pt idx="2">
                  <c:v>7.4</c:v>
                </c:pt>
                <c:pt idx="3">
                  <c:v>6.9</c:v>
                </c:pt>
                <c:pt idx="4">
                  <c:v>6.5</c:v>
                </c:pt>
                <c:pt idx="5">
                  <c:v>3.7</c:v>
                </c:pt>
                <c:pt idx="6">
                  <c:v>3.2</c:v>
                </c:pt>
                <c:pt idx="7">
                  <c:v>2.8</c:v>
                </c:pt>
                <c:pt idx="8">
                  <c:v>2.1</c:v>
                </c:pt>
              </c:numCache>
            </c:numRef>
          </c:val>
          <c:extLst>
            <c:ext xmlns:c16="http://schemas.microsoft.com/office/drawing/2014/chart" uri="{C3380CC4-5D6E-409C-BE32-E72D297353CC}">
              <c16:uniqueId val="{00000000-8044-4C8B-BE40-C39DBEBBFFA0}"/>
            </c:ext>
          </c:extLst>
        </c:ser>
        <c:dLbls>
          <c:showLegendKey val="0"/>
          <c:showVal val="1"/>
          <c:showCatName val="0"/>
          <c:showSerName val="0"/>
          <c:showPercent val="0"/>
          <c:showBubbleSize val="0"/>
        </c:dLbls>
        <c:gapWidth val="150"/>
        <c:axId val="98162944"/>
        <c:axId val="98271232"/>
      </c:barChart>
      <c:catAx>
        <c:axId val="98162944"/>
        <c:scaling>
          <c:orientation val="minMax"/>
        </c:scaling>
        <c:delete val="0"/>
        <c:axPos val="b"/>
        <c:numFmt formatCode="General" sourceLinked="0"/>
        <c:majorTickMark val="out"/>
        <c:minorTickMark val="none"/>
        <c:tickLblPos val="nextTo"/>
        <c:crossAx val="98271232"/>
        <c:crosses val="autoZero"/>
        <c:auto val="1"/>
        <c:lblAlgn val="ctr"/>
        <c:lblOffset val="100"/>
        <c:noMultiLvlLbl val="0"/>
      </c:catAx>
      <c:valAx>
        <c:axId val="98271232"/>
        <c:scaling>
          <c:orientation val="minMax"/>
        </c:scaling>
        <c:delete val="0"/>
        <c:axPos val="l"/>
        <c:majorGridlines/>
        <c:title>
          <c:tx>
            <c:rich>
              <a:bodyPr rot="-5400000" vert="horz"/>
              <a:lstStyle/>
              <a:p>
                <a:pPr>
                  <a:defRPr/>
                </a:pPr>
                <a:r>
                  <a:rPr lang="en-US"/>
                  <a:t>Percentage</a:t>
                </a:r>
              </a:p>
            </c:rich>
          </c:tx>
          <c:overlay val="0"/>
        </c:title>
        <c:numFmt formatCode="#,##0" sourceLinked="1"/>
        <c:majorTickMark val="out"/>
        <c:minorTickMark val="none"/>
        <c:tickLblPos val="nextTo"/>
        <c:crossAx val="98162944"/>
        <c:crosses val="autoZero"/>
        <c:crossBetween val="between"/>
      </c:valAx>
    </c:plotArea>
    <c:plotVisOnly val="1"/>
    <c:dispBlanksAs val="gap"/>
    <c:showDLblsOverMax val="0"/>
  </c:chart>
  <c:spPr>
    <a:effectLst>
      <a:glow rad="101600">
        <a:schemeClr val="accent1">
          <a:satMod val="175000"/>
          <a:alpha val="40000"/>
        </a:schemeClr>
      </a:glo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600"/>
              <a:t>Child Health Rates: Probable Cause Child</a:t>
            </a:r>
            <a:r>
              <a:rPr lang="en-US" sz="1600" baseline="0"/>
              <a:t> Abuse/Neglect, 2007</a:t>
            </a:r>
          </a:p>
          <a:p>
            <a:pPr>
              <a:defRPr/>
            </a:pPr>
            <a:r>
              <a:rPr lang="en-US" sz="1600" baseline="0"/>
              <a:t>Under Age 18</a:t>
            </a:r>
            <a:endParaRPr lang="en-US" sz="1600"/>
          </a:p>
        </c:rich>
      </c:tx>
      <c:overlay val="0"/>
    </c:title>
    <c:autoTitleDeleted val="0"/>
    <c:plotArea>
      <c:layout/>
      <c:barChart>
        <c:barDir val="col"/>
        <c:grouping val="clustered"/>
        <c:varyColors val="0"/>
        <c:ser>
          <c:idx val="0"/>
          <c:order val="0"/>
          <c:invertIfNegative val="0"/>
          <c:cat>
            <c:strRef>
              <c:f>'download(1)'!$A$6:$A$12</c:f>
              <c:strCache>
                <c:ptCount val="7"/>
                <c:pt idx="0">
                  <c:v>Missouri</c:v>
                </c:pt>
                <c:pt idx="1">
                  <c:v>Camden County </c:v>
                </c:pt>
                <c:pt idx="2">
                  <c:v>Laclede County </c:v>
                </c:pt>
                <c:pt idx="3">
                  <c:v>Maries County </c:v>
                </c:pt>
                <c:pt idx="4">
                  <c:v>Miller County </c:v>
                </c:pt>
                <c:pt idx="5">
                  <c:v>Phelps County </c:v>
                </c:pt>
                <c:pt idx="6">
                  <c:v>Pulaski County </c:v>
                </c:pt>
              </c:strCache>
            </c:strRef>
          </c:cat>
          <c:val>
            <c:numRef>
              <c:f>'download(1)'!$B$6:$B$12</c:f>
              <c:numCache>
                <c:formatCode>General</c:formatCode>
                <c:ptCount val="7"/>
                <c:pt idx="0">
                  <c:v>4.5</c:v>
                </c:pt>
                <c:pt idx="1">
                  <c:v>8.9</c:v>
                </c:pt>
                <c:pt idx="2">
                  <c:v>19.8</c:v>
                </c:pt>
                <c:pt idx="3">
                  <c:v>1.9000000000000001</c:v>
                </c:pt>
                <c:pt idx="4">
                  <c:v>9.6</c:v>
                </c:pt>
                <c:pt idx="5">
                  <c:v>6.7</c:v>
                </c:pt>
                <c:pt idx="6">
                  <c:v>7.1</c:v>
                </c:pt>
              </c:numCache>
            </c:numRef>
          </c:val>
          <c:extLst>
            <c:ext xmlns:c16="http://schemas.microsoft.com/office/drawing/2014/chart" uri="{C3380CC4-5D6E-409C-BE32-E72D297353CC}">
              <c16:uniqueId val="{00000000-417B-444D-AF18-7D6493BC5EE0}"/>
            </c:ext>
          </c:extLst>
        </c:ser>
        <c:dLbls>
          <c:showLegendKey val="0"/>
          <c:showVal val="0"/>
          <c:showCatName val="0"/>
          <c:showSerName val="0"/>
          <c:showPercent val="0"/>
          <c:showBubbleSize val="0"/>
        </c:dLbls>
        <c:gapWidth val="150"/>
        <c:axId val="78388608"/>
        <c:axId val="78398592"/>
      </c:barChart>
      <c:catAx>
        <c:axId val="78388608"/>
        <c:scaling>
          <c:orientation val="minMax"/>
        </c:scaling>
        <c:delete val="0"/>
        <c:axPos val="b"/>
        <c:numFmt formatCode="General" sourceLinked="0"/>
        <c:majorTickMark val="out"/>
        <c:minorTickMark val="none"/>
        <c:tickLblPos val="nextTo"/>
        <c:crossAx val="78398592"/>
        <c:crosses val="autoZero"/>
        <c:auto val="1"/>
        <c:lblAlgn val="ctr"/>
        <c:lblOffset val="100"/>
        <c:noMultiLvlLbl val="0"/>
      </c:catAx>
      <c:valAx>
        <c:axId val="78398592"/>
        <c:scaling>
          <c:orientation val="minMax"/>
        </c:scaling>
        <c:delete val="0"/>
        <c:axPos val="l"/>
        <c:majorGridlines/>
        <c:title>
          <c:tx>
            <c:rich>
              <a:bodyPr rot="-5400000" vert="horz"/>
              <a:lstStyle/>
              <a:p>
                <a:pPr>
                  <a:defRPr/>
                </a:pPr>
                <a:r>
                  <a:rPr lang="en-US"/>
                  <a:t>Rate</a:t>
                </a:r>
              </a:p>
            </c:rich>
          </c:tx>
          <c:overlay val="0"/>
        </c:title>
        <c:numFmt formatCode="General" sourceLinked="1"/>
        <c:majorTickMark val="out"/>
        <c:minorTickMark val="none"/>
        <c:tickLblPos val="nextTo"/>
        <c:crossAx val="78388608"/>
        <c:crosses val="autoZero"/>
        <c:crossBetween val="between"/>
      </c:valAx>
    </c:plotArea>
    <c:plotVisOnly val="1"/>
    <c:dispBlanksAs val="gap"/>
    <c:showDLblsOverMax val="0"/>
  </c:chart>
  <c:spPr>
    <a:effectLst>
      <a:glow rad="139700">
        <a:schemeClr val="accent1">
          <a:satMod val="175000"/>
          <a:alpha val="40000"/>
        </a:schemeClr>
      </a:glo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Probable</a:t>
            </a:r>
            <a:r>
              <a:rPr lang="en-US" baseline="0"/>
              <a:t> Cause Child Abuse/Neglect</a:t>
            </a:r>
          </a:p>
          <a:p>
            <a:pPr>
              <a:defRPr/>
            </a:pPr>
            <a:r>
              <a:rPr lang="en-US" baseline="0"/>
              <a:t>Moving Average Rates</a:t>
            </a:r>
            <a:endParaRPr lang="en-US"/>
          </a:p>
        </c:rich>
      </c:tx>
      <c:overlay val="0"/>
    </c:title>
    <c:autoTitleDeleted val="0"/>
    <c:plotArea>
      <c:layout/>
      <c:lineChart>
        <c:grouping val="standard"/>
        <c:varyColors val="0"/>
        <c:ser>
          <c:idx val="0"/>
          <c:order val="0"/>
          <c:tx>
            <c:strRef>
              <c:f>'download(3)'!$A$5</c:f>
              <c:strCache>
                <c:ptCount val="1"/>
                <c:pt idx="0">
                  <c:v>Pulaski County </c:v>
                </c:pt>
              </c:strCache>
            </c:strRef>
          </c:tx>
          <c:cat>
            <c:strRef>
              <c:f>'download(3)'!$B$4:$G$4</c:f>
              <c:strCache>
                <c:ptCount val="6"/>
                <c:pt idx="0">
                  <c:v>2000-2002</c:v>
                </c:pt>
                <c:pt idx="1">
                  <c:v>2001-2003</c:v>
                </c:pt>
                <c:pt idx="2">
                  <c:v>2002-2004</c:v>
                </c:pt>
                <c:pt idx="3">
                  <c:v>2003-2005</c:v>
                </c:pt>
                <c:pt idx="4">
                  <c:v>2004-2006</c:v>
                </c:pt>
                <c:pt idx="5">
                  <c:v>2005-2007</c:v>
                </c:pt>
              </c:strCache>
            </c:strRef>
          </c:cat>
          <c:val>
            <c:numRef>
              <c:f>'download(3)'!$B$5:$G$5</c:f>
              <c:numCache>
                <c:formatCode>General</c:formatCode>
                <c:ptCount val="6"/>
                <c:pt idx="0">
                  <c:v>13.3</c:v>
                </c:pt>
                <c:pt idx="1">
                  <c:v>12</c:v>
                </c:pt>
                <c:pt idx="2">
                  <c:v>9.2000000000000011</c:v>
                </c:pt>
                <c:pt idx="3">
                  <c:v>8.6</c:v>
                </c:pt>
                <c:pt idx="4">
                  <c:v>8.1</c:v>
                </c:pt>
                <c:pt idx="5">
                  <c:v>7.2</c:v>
                </c:pt>
              </c:numCache>
            </c:numRef>
          </c:val>
          <c:smooth val="0"/>
          <c:extLst>
            <c:ext xmlns:c16="http://schemas.microsoft.com/office/drawing/2014/chart" uri="{C3380CC4-5D6E-409C-BE32-E72D297353CC}">
              <c16:uniqueId val="{00000000-72B0-48DB-8620-895A4A825407}"/>
            </c:ext>
          </c:extLst>
        </c:ser>
        <c:ser>
          <c:idx val="1"/>
          <c:order val="1"/>
          <c:tx>
            <c:strRef>
              <c:f>'download(3)'!$A$6</c:f>
              <c:strCache>
                <c:ptCount val="1"/>
                <c:pt idx="0">
                  <c:v>Missouri</c:v>
                </c:pt>
              </c:strCache>
            </c:strRef>
          </c:tx>
          <c:cat>
            <c:strRef>
              <c:f>'download(3)'!$B$4:$G$4</c:f>
              <c:strCache>
                <c:ptCount val="6"/>
                <c:pt idx="0">
                  <c:v>2000-2002</c:v>
                </c:pt>
                <c:pt idx="1">
                  <c:v>2001-2003</c:v>
                </c:pt>
                <c:pt idx="2">
                  <c:v>2002-2004</c:v>
                </c:pt>
                <c:pt idx="3">
                  <c:v>2003-2005</c:v>
                </c:pt>
                <c:pt idx="4">
                  <c:v>2004-2006</c:v>
                </c:pt>
                <c:pt idx="5">
                  <c:v>2005-2007</c:v>
                </c:pt>
              </c:strCache>
            </c:strRef>
          </c:cat>
          <c:val>
            <c:numRef>
              <c:f>'download(3)'!$B$6:$G$6</c:f>
              <c:numCache>
                <c:formatCode>General</c:formatCode>
                <c:ptCount val="6"/>
                <c:pt idx="0">
                  <c:v>7.3</c:v>
                </c:pt>
                <c:pt idx="1">
                  <c:v>7.3</c:v>
                </c:pt>
                <c:pt idx="2">
                  <c:v>6.9</c:v>
                </c:pt>
                <c:pt idx="3">
                  <c:v>6.5</c:v>
                </c:pt>
                <c:pt idx="4">
                  <c:v>6.1</c:v>
                </c:pt>
                <c:pt idx="5">
                  <c:v>5.4</c:v>
                </c:pt>
              </c:numCache>
            </c:numRef>
          </c:val>
          <c:smooth val="0"/>
          <c:extLst>
            <c:ext xmlns:c16="http://schemas.microsoft.com/office/drawing/2014/chart" uri="{C3380CC4-5D6E-409C-BE32-E72D297353CC}">
              <c16:uniqueId val="{00000001-72B0-48DB-8620-895A4A825407}"/>
            </c:ext>
          </c:extLst>
        </c:ser>
        <c:dLbls>
          <c:showLegendKey val="0"/>
          <c:showVal val="0"/>
          <c:showCatName val="0"/>
          <c:showSerName val="0"/>
          <c:showPercent val="0"/>
          <c:showBubbleSize val="0"/>
        </c:dLbls>
        <c:marker val="1"/>
        <c:smooth val="0"/>
        <c:axId val="81176064"/>
        <c:axId val="81177600"/>
      </c:lineChart>
      <c:catAx>
        <c:axId val="81176064"/>
        <c:scaling>
          <c:orientation val="minMax"/>
        </c:scaling>
        <c:delete val="0"/>
        <c:axPos val="b"/>
        <c:numFmt formatCode="General" sourceLinked="0"/>
        <c:majorTickMark val="out"/>
        <c:minorTickMark val="none"/>
        <c:tickLblPos val="nextTo"/>
        <c:crossAx val="81177600"/>
        <c:crosses val="autoZero"/>
        <c:auto val="1"/>
        <c:lblAlgn val="ctr"/>
        <c:lblOffset val="100"/>
        <c:noMultiLvlLbl val="0"/>
      </c:catAx>
      <c:valAx>
        <c:axId val="81177600"/>
        <c:scaling>
          <c:orientation val="minMax"/>
        </c:scaling>
        <c:delete val="0"/>
        <c:axPos val="l"/>
        <c:majorGridlines/>
        <c:numFmt formatCode="General" sourceLinked="1"/>
        <c:majorTickMark val="out"/>
        <c:minorTickMark val="none"/>
        <c:tickLblPos val="nextTo"/>
        <c:crossAx val="81176064"/>
        <c:crosses val="autoZero"/>
        <c:crossBetween val="between"/>
      </c:valAx>
    </c:plotArea>
    <c:legend>
      <c:legendPos val="r"/>
      <c:overlay val="0"/>
    </c:legend>
    <c:plotVisOnly val="1"/>
    <c:dispBlanksAs val="gap"/>
    <c:showDLblsOverMax val="0"/>
  </c:chart>
  <c:spPr>
    <a:effectLst>
      <a:glow rad="139700">
        <a:schemeClr val="accent1">
          <a:satMod val="175000"/>
          <a:alpha val="40000"/>
        </a:schemeClr>
      </a:glo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Estimated</a:t>
            </a:r>
            <a:r>
              <a:rPr lang="en-US" baseline="0"/>
              <a:t> Population, 2008</a:t>
            </a:r>
          </a:p>
          <a:p>
            <a:pPr>
              <a:defRPr/>
            </a:pPr>
            <a:r>
              <a:rPr lang="en-US" baseline="0"/>
              <a:t>19 and under</a:t>
            </a:r>
            <a:endParaRPr lang="en-US"/>
          </a:p>
        </c:rich>
      </c:tx>
      <c:overlay val="0"/>
    </c:title>
    <c:autoTitleDeleted val="0"/>
    <c:plotArea>
      <c:layout/>
      <c:barChart>
        <c:barDir val="col"/>
        <c:grouping val="clustered"/>
        <c:varyColors val="0"/>
        <c:ser>
          <c:idx val="0"/>
          <c:order val="0"/>
          <c:invertIfNegative val="0"/>
          <c:cat>
            <c:strRef>
              <c:f>'download(2)'!$A$6:$A$11</c:f>
              <c:strCache>
                <c:ptCount val="6"/>
                <c:pt idx="0">
                  <c:v> Under 1 </c:v>
                </c:pt>
                <c:pt idx="1">
                  <c:v> 1 to 4 </c:v>
                </c:pt>
                <c:pt idx="2">
                  <c:v> 5 to 9 </c:v>
                </c:pt>
                <c:pt idx="3">
                  <c:v> 10 to 14 </c:v>
                </c:pt>
                <c:pt idx="4">
                  <c:v> 15 to 17 </c:v>
                </c:pt>
                <c:pt idx="5">
                  <c:v> 18 to 19 </c:v>
                </c:pt>
              </c:strCache>
            </c:strRef>
          </c:cat>
          <c:val>
            <c:numRef>
              <c:f>'download(2)'!$B$6:$B$11</c:f>
              <c:numCache>
                <c:formatCode>General</c:formatCode>
                <c:ptCount val="6"/>
                <c:pt idx="0">
                  <c:v>786</c:v>
                </c:pt>
                <c:pt idx="1">
                  <c:v>2502</c:v>
                </c:pt>
                <c:pt idx="2">
                  <c:v>3037</c:v>
                </c:pt>
                <c:pt idx="3">
                  <c:v>3152</c:v>
                </c:pt>
                <c:pt idx="4">
                  <c:v>2162</c:v>
                </c:pt>
                <c:pt idx="5">
                  <c:v>3688</c:v>
                </c:pt>
              </c:numCache>
            </c:numRef>
          </c:val>
          <c:extLst>
            <c:ext xmlns:c16="http://schemas.microsoft.com/office/drawing/2014/chart" uri="{C3380CC4-5D6E-409C-BE32-E72D297353CC}">
              <c16:uniqueId val="{00000000-613D-468E-83EF-96AF6DCC0A7F}"/>
            </c:ext>
          </c:extLst>
        </c:ser>
        <c:dLbls>
          <c:showLegendKey val="0"/>
          <c:showVal val="0"/>
          <c:showCatName val="0"/>
          <c:showSerName val="0"/>
          <c:showPercent val="0"/>
          <c:showBubbleSize val="0"/>
        </c:dLbls>
        <c:gapWidth val="150"/>
        <c:axId val="81771136"/>
        <c:axId val="98304384"/>
      </c:barChart>
      <c:catAx>
        <c:axId val="81771136"/>
        <c:scaling>
          <c:orientation val="minMax"/>
        </c:scaling>
        <c:delete val="0"/>
        <c:axPos val="b"/>
        <c:numFmt formatCode="General" sourceLinked="0"/>
        <c:majorTickMark val="out"/>
        <c:minorTickMark val="none"/>
        <c:tickLblPos val="nextTo"/>
        <c:crossAx val="98304384"/>
        <c:crosses val="autoZero"/>
        <c:auto val="1"/>
        <c:lblAlgn val="ctr"/>
        <c:lblOffset val="100"/>
        <c:noMultiLvlLbl val="0"/>
      </c:catAx>
      <c:valAx>
        <c:axId val="98304384"/>
        <c:scaling>
          <c:orientation val="minMax"/>
        </c:scaling>
        <c:delete val="0"/>
        <c:axPos val="l"/>
        <c:majorGridlines/>
        <c:title>
          <c:tx>
            <c:rich>
              <a:bodyPr rot="-5400000" vert="horz"/>
              <a:lstStyle/>
              <a:p>
                <a:pPr>
                  <a:defRPr/>
                </a:pPr>
                <a:r>
                  <a:rPr lang="en-US"/>
                  <a:t> Population</a:t>
                </a:r>
              </a:p>
            </c:rich>
          </c:tx>
          <c:overlay val="0"/>
        </c:title>
        <c:numFmt formatCode="General" sourceLinked="1"/>
        <c:majorTickMark val="out"/>
        <c:minorTickMark val="none"/>
        <c:tickLblPos val="nextTo"/>
        <c:crossAx val="81771136"/>
        <c:crosses val="autoZero"/>
        <c:crossBetween val="between"/>
      </c:valAx>
    </c:plotArea>
    <c:plotVisOnly val="1"/>
    <c:dispBlanksAs val="gap"/>
    <c:showDLblsOverMax val="0"/>
  </c:chart>
  <c:spPr>
    <a:effectLst>
      <a:glow rad="139700">
        <a:schemeClr val="accent1">
          <a:satMod val="175000"/>
          <a:alpha val="40000"/>
        </a:schemeClr>
      </a:glo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WIC Participants</a:t>
            </a:r>
            <a:r>
              <a:rPr lang="en-US" baseline="0"/>
              <a:t> Served, by year</a:t>
            </a:r>
            <a:endParaRPr lang="en-US"/>
          </a:p>
        </c:rich>
      </c:tx>
      <c:overlay val="0"/>
      <c:spPr>
        <a:effectLst>
          <a:glow rad="139700">
            <a:schemeClr val="accent1">
              <a:satMod val="175000"/>
              <a:alpha val="40000"/>
            </a:schemeClr>
          </a:glow>
        </a:effectLst>
      </c:spPr>
    </c:title>
    <c:autoTitleDeleted val="0"/>
    <c:plotArea>
      <c:layout/>
      <c:barChart>
        <c:barDir val="col"/>
        <c:grouping val="clustered"/>
        <c:varyColors val="0"/>
        <c:ser>
          <c:idx val="0"/>
          <c:order val="0"/>
          <c:invertIfNegative val="0"/>
          <c:cat>
            <c:numLit>
              <c:formatCode>General</c:formatCode>
              <c:ptCount val="4"/>
              <c:pt idx="0">
                <c:v>2005</c:v>
              </c:pt>
              <c:pt idx="1">
                <c:v>2006</c:v>
              </c:pt>
              <c:pt idx="2">
                <c:v>2007</c:v>
              </c:pt>
              <c:pt idx="3">
                <c:v>2008</c:v>
              </c:pt>
            </c:numLit>
          </c:cat>
          <c:val>
            <c:numRef>
              <c:f>Sheet1!$A$2:$D$2</c:f>
              <c:numCache>
                <c:formatCode>General</c:formatCode>
                <c:ptCount val="4"/>
                <c:pt idx="0">
                  <c:v>2373</c:v>
                </c:pt>
                <c:pt idx="1">
                  <c:v>2507</c:v>
                </c:pt>
                <c:pt idx="2">
                  <c:v>2818</c:v>
                </c:pt>
                <c:pt idx="3">
                  <c:v>2800</c:v>
                </c:pt>
              </c:numCache>
            </c:numRef>
          </c:val>
          <c:extLst>
            <c:ext xmlns:c16="http://schemas.microsoft.com/office/drawing/2014/chart" uri="{C3380CC4-5D6E-409C-BE32-E72D297353CC}">
              <c16:uniqueId val="{00000000-A306-4AF2-AC4B-81AB69CF5057}"/>
            </c:ext>
          </c:extLst>
        </c:ser>
        <c:dLbls>
          <c:showLegendKey val="0"/>
          <c:showVal val="0"/>
          <c:showCatName val="0"/>
          <c:showSerName val="0"/>
          <c:showPercent val="0"/>
          <c:showBubbleSize val="0"/>
        </c:dLbls>
        <c:gapWidth val="150"/>
        <c:axId val="98328576"/>
        <c:axId val="98330112"/>
      </c:barChart>
      <c:catAx>
        <c:axId val="98328576"/>
        <c:scaling>
          <c:orientation val="minMax"/>
        </c:scaling>
        <c:delete val="0"/>
        <c:axPos val="b"/>
        <c:numFmt formatCode="General" sourceLinked="1"/>
        <c:majorTickMark val="out"/>
        <c:minorTickMark val="none"/>
        <c:tickLblPos val="nextTo"/>
        <c:crossAx val="98330112"/>
        <c:crosses val="autoZero"/>
        <c:auto val="1"/>
        <c:lblAlgn val="ctr"/>
        <c:lblOffset val="100"/>
        <c:noMultiLvlLbl val="0"/>
      </c:catAx>
      <c:valAx>
        <c:axId val="98330112"/>
        <c:scaling>
          <c:orientation val="minMax"/>
        </c:scaling>
        <c:delete val="0"/>
        <c:axPos val="l"/>
        <c:majorGridlines/>
        <c:title>
          <c:tx>
            <c:rich>
              <a:bodyPr rot="-5400000" vert="horz"/>
              <a:lstStyle/>
              <a:p>
                <a:pPr>
                  <a:defRPr/>
                </a:pPr>
                <a:r>
                  <a:rPr lang="en-US"/>
                  <a:t>Total Participants Served</a:t>
                </a:r>
              </a:p>
            </c:rich>
          </c:tx>
          <c:overlay val="0"/>
        </c:title>
        <c:numFmt formatCode="General" sourceLinked="1"/>
        <c:majorTickMark val="out"/>
        <c:minorTickMark val="none"/>
        <c:tickLblPos val="nextTo"/>
        <c:crossAx val="98328576"/>
        <c:crosses val="autoZero"/>
        <c:crossBetween val="between"/>
      </c:valAx>
    </c:plotArea>
    <c:plotVisOnly val="1"/>
    <c:dispBlanksAs val="gap"/>
    <c:showDLblsOverMax val="0"/>
  </c:chart>
  <c:spPr>
    <a:effectLst>
      <a:glow rad="139700">
        <a:schemeClr val="accent1">
          <a:satMod val="175000"/>
          <a:alpha val="40000"/>
        </a:schemeClr>
      </a:glo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200"/>
              <a:t>2009 Communicable</a:t>
            </a:r>
            <a:r>
              <a:rPr lang="en-US" sz="1200" baseline="0"/>
              <a:t> Diseases, Reported</a:t>
            </a:r>
            <a:endParaRPr lang="en-US" sz="1200"/>
          </a:p>
        </c:rich>
      </c:tx>
      <c:overlay val="0"/>
    </c:title>
    <c:autoTitleDeleted val="0"/>
    <c:plotArea>
      <c:layout>
        <c:manualLayout>
          <c:layoutTarget val="inner"/>
          <c:xMode val="edge"/>
          <c:yMode val="edge"/>
          <c:x val="6.3745936867380684E-2"/>
          <c:y val="0.12380946966466726"/>
          <c:w val="0.55020275750202752"/>
          <c:h val="0.7879210220673637"/>
        </c:manualLayout>
      </c:layout>
      <c:pieChart>
        <c:varyColors val="1"/>
        <c:ser>
          <c:idx val="0"/>
          <c:order val="0"/>
          <c:cat>
            <c:strLit>
              <c:ptCount val="7"/>
              <c:pt idx="0">
                <c:v>Sexually Transmitted</c:v>
              </c:pt>
              <c:pt idx="1">
                <c:v> Influenza</c:v>
              </c:pt>
              <c:pt idx="2">
                <c:v> Animal Bites</c:v>
              </c:pt>
              <c:pt idx="3">
                <c:v> Hepatitis</c:v>
              </c:pt>
              <c:pt idx="4">
                <c:v> Tick/Mosquito</c:v>
              </c:pt>
              <c:pt idx="5">
                <c:v> Food &amp; Water Borne</c:v>
              </c:pt>
              <c:pt idx="6">
                <c:v> Latent TB</c:v>
              </c:pt>
            </c:strLit>
          </c:cat>
          <c:val>
            <c:numRef>
              <c:f>Sheet1!$B$1:$B$7</c:f>
              <c:numCache>
                <c:formatCode>General</c:formatCode>
                <c:ptCount val="7"/>
                <c:pt idx="0">
                  <c:v>435</c:v>
                </c:pt>
                <c:pt idx="1">
                  <c:v>182</c:v>
                </c:pt>
                <c:pt idx="2">
                  <c:v>107</c:v>
                </c:pt>
                <c:pt idx="3">
                  <c:v>57</c:v>
                </c:pt>
                <c:pt idx="4">
                  <c:v>48</c:v>
                </c:pt>
                <c:pt idx="5">
                  <c:v>16</c:v>
                </c:pt>
                <c:pt idx="6">
                  <c:v>2</c:v>
                </c:pt>
              </c:numCache>
            </c:numRef>
          </c:val>
          <c:extLst>
            <c:ext xmlns:c16="http://schemas.microsoft.com/office/drawing/2014/chart" uri="{C3380CC4-5D6E-409C-BE32-E72D297353CC}">
              <c16:uniqueId val="{00000000-AD78-4123-858B-C102E491C66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584094871352882"/>
          <c:y val="0.17728113254135963"/>
          <c:w val="0.33469433109182584"/>
          <c:h val="0.5880622239293245"/>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Chlamydia</a:t>
            </a:r>
            <a:r>
              <a:rPr lang="en-US" baseline="0"/>
              <a:t> Rates, 2006-2008</a:t>
            </a:r>
            <a:endParaRPr lang="en-US"/>
          </a:p>
        </c:rich>
      </c:tx>
      <c:overlay val="0"/>
    </c:title>
    <c:autoTitleDeleted val="0"/>
    <c:plotArea>
      <c:layout/>
      <c:barChart>
        <c:barDir val="col"/>
        <c:grouping val="clustered"/>
        <c:varyColors val="0"/>
        <c:ser>
          <c:idx val="0"/>
          <c:order val="0"/>
          <c:invertIfNegative val="0"/>
          <c:cat>
            <c:strLit>
              <c:ptCount val="2"/>
              <c:pt idx="0">
                <c:v>Pulaski County</c:v>
              </c:pt>
              <c:pt idx="1">
                <c:v> Missouri</c:v>
              </c:pt>
            </c:strLit>
          </c:cat>
          <c:val>
            <c:numRef>
              <c:f>Sheet1!$A$1:$A$2</c:f>
              <c:numCache>
                <c:formatCode>General</c:formatCode>
                <c:ptCount val="2"/>
                <c:pt idx="0">
                  <c:v>2063.9</c:v>
                </c:pt>
                <c:pt idx="1">
                  <c:v>1423.23</c:v>
                </c:pt>
              </c:numCache>
            </c:numRef>
          </c:val>
          <c:extLst>
            <c:ext xmlns:c16="http://schemas.microsoft.com/office/drawing/2014/chart" uri="{C3380CC4-5D6E-409C-BE32-E72D297353CC}">
              <c16:uniqueId val="{00000000-D915-463E-AFF5-9C7A9779313E}"/>
            </c:ext>
          </c:extLst>
        </c:ser>
        <c:dLbls>
          <c:showLegendKey val="0"/>
          <c:showVal val="0"/>
          <c:showCatName val="0"/>
          <c:showSerName val="0"/>
          <c:showPercent val="0"/>
          <c:showBubbleSize val="0"/>
        </c:dLbls>
        <c:gapWidth val="150"/>
        <c:axId val="98368512"/>
        <c:axId val="77923072"/>
      </c:barChart>
      <c:catAx>
        <c:axId val="98368512"/>
        <c:scaling>
          <c:orientation val="minMax"/>
        </c:scaling>
        <c:delete val="0"/>
        <c:axPos val="b"/>
        <c:numFmt formatCode="General" sourceLinked="0"/>
        <c:majorTickMark val="out"/>
        <c:minorTickMark val="none"/>
        <c:tickLblPos val="nextTo"/>
        <c:crossAx val="77923072"/>
        <c:crosses val="autoZero"/>
        <c:auto val="1"/>
        <c:lblAlgn val="ctr"/>
        <c:lblOffset val="100"/>
        <c:noMultiLvlLbl val="0"/>
      </c:catAx>
      <c:valAx>
        <c:axId val="77923072"/>
        <c:scaling>
          <c:orientation val="minMax"/>
        </c:scaling>
        <c:delete val="0"/>
        <c:axPos val="l"/>
        <c:majorGridlines/>
        <c:numFmt formatCode="General" sourceLinked="1"/>
        <c:majorTickMark val="out"/>
        <c:minorTickMark val="none"/>
        <c:tickLblPos val="nextTo"/>
        <c:crossAx val="98368512"/>
        <c:crosses val="autoZero"/>
        <c:crossBetween val="between"/>
      </c:valAx>
    </c:plotArea>
    <c:plotVisOnly val="1"/>
    <c:dispBlanksAs val="gap"/>
    <c:showDLblsOverMax val="0"/>
  </c:chart>
  <c:spPr>
    <a:effectLst>
      <a:glow rad="139700">
        <a:schemeClr val="accent1">
          <a:satMod val="175000"/>
          <a:alpha val="40000"/>
        </a:schemeClr>
      </a:glo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D8A3-4EFE-45E5-A12B-7524556A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Shawn Bolerjack</cp:lastModifiedBy>
  <cp:revision>2</cp:revision>
  <cp:lastPrinted>2010-09-07T22:06:00Z</cp:lastPrinted>
  <dcterms:created xsi:type="dcterms:W3CDTF">2019-04-25T01:48:00Z</dcterms:created>
  <dcterms:modified xsi:type="dcterms:W3CDTF">2019-04-25T01:48:00Z</dcterms:modified>
</cp:coreProperties>
</file>