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943075809"/>
        <w:docPartObj>
          <w:docPartGallery w:val="Cover Pages"/>
          <w:docPartUnique/>
        </w:docPartObj>
      </w:sdtPr>
      <w:sdtEndPr>
        <w:rPr>
          <w:rFonts w:asciiTheme="minorHAnsi" w:eastAsiaTheme="minorHAnsi" w:hAnsiTheme="minorHAnsi" w:cstheme="minorBidi"/>
          <w:sz w:val="22"/>
          <w:szCs w:val="22"/>
        </w:rPr>
      </w:sdtEndPr>
      <w:sdtContent>
        <w:p w:rsidR="00075134" w:rsidRDefault="00B84DD1">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E80C165733DC4BB690B0D42C1DCDBAD4"/>
            </w:placeholder>
            <w:dataBinding w:prefixMappings="xmlns:ns0='http://schemas.openxmlformats.org/package/2006/metadata/core-properties' xmlns:ns1='http://purl.org/dc/elements/1.1/'" w:xpath="/ns0:coreProperties[1]/ns1:title[1]" w:storeItemID="{6C3C8BC8-F283-45AE-878A-BAB7291924A1}"/>
            <w:text/>
          </w:sdtPr>
          <w:sdtEndPr/>
          <w:sdtContent>
            <w:p w:rsidR="00075134" w:rsidRDefault="0007513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Pulaski County Community Health Assessment</w:t>
              </w:r>
            </w:p>
          </w:sdtContent>
        </w:sdt>
        <w:sdt>
          <w:sdtPr>
            <w:rPr>
              <w:rFonts w:asciiTheme="majorHAnsi" w:eastAsiaTheme="majorEastAsia" w:hAnsiTheme="majorHAnsi" w:cstheme="majorBidi"/>
              <w:sz w:val="36"/>
              <w:szCs w:val="36"/>
            </w:rPr>
            <w:alias w:val="Subtitle"/>
            <w:id w:val="14700077"/>
            <w:placeholder>
              <w:docPart w:val="FA3C40B1857B4CDA88B30BF2F67DE03A"/>
            </w:placeholder>
            <w:dataBinding w:prefixMappings="xmlns:ns0='http://schemas.openxmlformats.org/package/2006/metadata/core-properties' xmlns:ns1='http://purl.org/dc/elements/1.1/'" w:xpath="/ns0:coreProperties[1]/ns1:subject[1]" w:storeItemID="{6C3C8BC8-F283-45AE-878A-BAB7291924A1}"/>
            <w:text/>
          </w:sdtPr>
          <w:sdtEndPr/>
          <w:sdtContent>
            <w:p w:rsidR="00075134" w:rsidRDefault="0007513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Annual Update 2015</w:t>
              </w:r>
            </w:p>
          </w:sdtContent>
        </w:sdt>
        <w:p w:rsidR="00075134" w:rsidRDefault="00075134">
          <w:pPr>
            <w:pStyle w:val="NoSpacing"/>
            <w:rPr>
              <w:rFonts w:asciiTheme="majorHAnsi" w:eastAsiaTheme="majorEastAsia" w:hAnsiTheme="majorHAnsi" w:cstheme="majorBidi"/>
              <w:sz w:val="36"/>
              <w:szCs w:val="36"/>
            </w:rPr>
          </w:pPr>
        </w:p>
        <w:p w:rsidR="00075134" w:rsidRDefault="00075134">
          <w:pPr>
            <w:pStyle w:val="NoSpacing"/>
          </w:pPr>
        </w:p>
        <w:sdt>
          <w:sdtPr>
            <w:rPr>
              <w:sz w:val="32"/>
              <w:szCs w:val="32"/>
            </w:rPr>
            <w:alias w:val="Company"/>
            <w:id w:val="14700089"/>
            <w:placeholder>
              <w:docPart w:val="1112E85AB811466285DB5E4E9B589B3A"/>
            </w:placeholder>
            <w:dataBinding w:prefixMappings="xmlns:ns0='http://schemas.openxmlformats.org/officeDocument/2006/extended-properties'" w:xpath="/ns0:Properties[1]/ns0:Company[1]" w:storeItemID="{6668398D-A668-4E3E-A5EB-62B293D839F1}"/>
            <w:text/>
          </w:sdtPr>
          <w:sdtEndPr/>
          <w:sdtContent>
            <w:p w:rsidR="00075134" w:rsidRPr="00075134" w:rsidRDefault="00075134">
              <w:pPr>
                <w:pStyle w:val="NoSpacing"/>
                <w:rPr>
                  <w:sz w:val="32"/>
                  <w:szCs w:val="32"/>
                </w:rPr>
              </w:pPr>
              <w:r w:rsidRPr="00075134">
                <w:rPr>
                  <w:sz w:val="32"/>
                  <w:szCs w:val="32"/>
                </w:rPr>
                <w:t>Pulaski County Health Center</w:t>
              </w:r>
            </w:p>
          </w:sdtContent>
        </w:sdt>
        <w:sdt>
          <w:sdtPr>
            <w:rPr>
              <w:sz w:val="32"/>
              <w:szCs w:val="32"/>
            </w:rPr>
            <w:alias w:val="Author"/>
            <w:id w:val="14700094"/>
            <w:placeholder>
              <w:docPart w:val="C06BA7EECEE24499B8CD5092C18EA0E4"/>
            </w:placeholder>
            <w:dataBinding w:prefixMappings="xmlns:ns0='http://schemas.openxmlformats.org/package/2006/metadata/core-properties' xmlns:ns1='http://purl.org/dc/elements/1.1/'" w:xpath="/ns0:coreProperties[1]/ns1:creator[1]" w:storeItemID="{6C3C8BC8-F283-45AE-878A-BAB7291924A1}"/>
            <w:text/>
          </w:sdtPr>
          <w:sdtEndPr/>
          <w:sdtContent>
            <w:p w:rsidR="00075134" w:rsidRPr="00075134" w:rsidRDefault="00075134">
              <w:pPr>
                <w:pStyle w:val="NoSpacing"/>
                <w:rPr>
                  <w:sz w:val="32"/>
                  <w:szCs w:val="32"/>
                </w:rPr>
              </w:pPr>
              <w:r w:rsidRPr="00075134">
                <w:rPr>
                  <w:sz w:val="32"/>
                  <w:szCs w:val="32"/>
                </w:rPr>
                <w:t>&amp; Home Health Agency</w:t>
              </w:r>
            </w:p>
          </w:sdtContent>
        </w:sdt>
        <w:p w:rsidR="00075134" w:rsidRDefault="00075134"/>
        <w:p w:rsidR="00075134" w:rsidRDefault="00075134">
          <w:r>
            <w:rPr>
              <w:noProof/>
            </w:rPr>
            <w:drawing>
              <wp:anchor distT="0" distB="0" distL="114300" distR="114300" simplePos="0" relativeHeight="251664384" behindDoc="0" locked="0" layoutInCell="1" allowOverlap="1">
                <wp:simplePos x="0" y="0"/>
                <wp:positionH relativeFrom="column">
                  <wp:posOffset>4295775</wp:posOffset>
                </wp:positionH>
                <wp:positionV relativeFrom="paragraph">
                  <wp:posOffset>4000500</wp:posOffset>
                </wp:positionV>
                <wp:extent cx="1981200" cy="1724025"/>
                <wp:effectExtent l="19050" t="0" r="0" b="0"/>
                <wp:wrapNone/>
                <wp:docPr id="2" name="Picture 0" descr="PHLogo2ColorGIF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GIF_000.gif"/>
                        <pic:cNvPicPr/>
                      </pic:nvPicPr>
                      <pic:blipFill>
                        <a:blip r:embed="rId7" cstate="print"/>
                        <a:stretch>
                          <a:fillRect/>
                        </a:stretch>
                      </pic:blipFill>
                      <pic:spPr>
                        <a:xfrm>
                          <a:off x="0" y="0"/>
                          <a:ext cx="1981200" cy="1724025"/>
                        </a:xfrm>
                        <a:prstGeom prst="rect">
                          <a:avLst/>
                        </a:prstGeom>
                      </pic:spPr>
                    </pic:pic>
                  </a:graphicData>
                </a:graphic>
              </wp:anchor>
            </w:drawing>
          </w:r>
          <w:r>
            <w:br w:type="page"/>
          </w:r>
        </w:p>
      </w:sdtContent>
    </w:sdt>
    <w:p w:rsidR="009B7D70" w:rsidRPr="00614B4E" w:rsidRDefault="00075134" w:rsidP="00075134">
      <w:pPr>
        <w:rPr>
          <w:sz w:val="24"/>
          <w:szCs w:val="24"/>
        </w:rPr>
      </w:pPr>
      <w:r w:rsidRPr="00614B4E">
        <w:rPr>
          <w:b/>
          <w:sz w:val="24"/>
          <w:szCs w:val="24"/>
        </w:rPr>
        <w:lastRenderedPageBreak/>
        <w:t>Demographic</w:t>
      </w:r>
      <w:r w:rsidR="008D7FFC">
        <w:rPr>
          <w:b/>
          <w:sz w:val="24"/>
          <w:szCs w:val="24"/>
        </w:rPr>
        <w:t>/Population Update</w:t>
      </w:r>
    </w:p>
    <w:p w:rsidR="00DB3F0D" w:rsidRDefault="00614B4E" w:rsidP="00075134">
      <w:pPr>
        <w:pStyle w:val="NoSpacing"/>
        <w:rPr>
          <w:noProof/>
          <w:sz w:val="24"/>
          <w:szCs w:val="24"/>
        </w:rPr>
      </w:pPr>
      <w:r w:rsidRPr="00614B4E">
        <w:rPr>
          <w:noProof/>
          <w:sz w:val="24"/>
          <w:szCs w:val="24"/>
        </w:rPr>
        <w:t>Pulaski County’s population is now estimated at 53,</w:t>
      </w:r>
      <w:r w:rsidR="00514734">
        <w:rPr>
          <w:noProof/>
          <w:sz w:val="24"/>
          <w:szCs w:val="24"/>
        </w:rPr>
        <w:t>436</w:t>
      </w:r>
      <w:r w:rsidR="00546AAE">
        <w:rPr>
          <w:noProof/>
          <w:sz w:val="24"/>
          <w:szCs w:val="24"/>
        </w:rPr>
        <w:t xml:space="preserve"> people; a slight </w:t>
      </w:r>
      <w:r w:rsidR="00514734">
        <w:rPr>
          <w:noProof/>
          <w:sz w:val="24"/>
          <w:szCs w:val="24"/>
        </w:rPr>
        <w:t>increase</w:t>
      </w:r>
      <w:r w:rsidRPr="00614B4E">
        <w:rPr>
          <w:noProof/>
          <w:sz w:val="24"/>
          <w:szCs w:val="24"/>
        </w:rPr>
        <w:t xml:space="preserve"> since the 2010 Census level of 53,259. </w:t>
      </w:r>
      <w:r w:rsidR="00546AAE">
        <w:rPr>
          <w:noProof/>
          <w:sz w:val="24"/>
          <w:szCs w:val="24"/>
        </w:rPr>
        <w:t xml:space="preserve">The population has remained stable the past few years following an exponential growth period from 2006 to 2012. </w:t>
      </w:r>
      <w:r w:rsidR="00DB3F0D">
        <w:rPr>
          <w:noProof/>
          <w:sz w:val="24"/>
          <w:szCs w:val="24"/>
        </w:rPr>
        <w:t xml:space="preserve">The population by race is listed in </w:t>
      </w:r>
      <w:r w:rsidR="00FA4E0E">
        <w:rPr>
          <w:noProof/>
          <w:sz w:val="24"/>
          <w:szCs w:val="24"/>
        </w:rPr>
        <w:t>Table 1.1</w:t>
      </w:r>
      <w:r w:rsidR="00DB3F0D">
        <w:rPr>
          <w:noProof/>
          <w:sz w:val="24"/>
          <w:szCs w:val="24"/>
        </w:rPr>
        <w:t xml:space="preserve"> below and shows a slight decrease in the white alone percentage and a slight increase in all other races</w:t>
      </w:r>
      <w:r w:rsidR="008D7FFC">
        <w:rPr>
          <w:noProof/>
          <w:sz w:val="24"/>
          <w:szCs w:val="24"/>
        </w:rPr>
        <w:t xml:space="preserve"> with the American Indian/Alaskan Native population remaining the same</w:t>
      </w:r>
      <w:r w:rsidR="00DB3F0D">
        <w:rPr>
          <w:noProof/>
          <w:sz w:val="24"/>
          <w:szCs w:val="24"/>
        </w:rPr>
        <w:t xml:space="preserve">.  </w:t>
      </w:r>
      <w:r w:rsidR="008D7FFC">
        <w:rPr>
          <w:noProof/>
          <w:sz w:val="24"/>
          <w:szCs w:val="24"/>
        </w:rPr>
        <w:t>The Hispanic ethnicity has also experienced a small increase. Additaional charactics of the population include an average total of veteran residents of 7,197 and foreign born residents are at 5.7% of the current population.</w:t>
      </w:r>
    </w:p>
    <w:p w:rsidR="008D7FFC" w:rsidRDefault="008D7FFC" w:rsidP="00075134">
      <w:pPr>
        <w:pStyle w:val="NoSpacing"/>
        <w:rPr>
          <w:noProof/>
          <w:sz w:val="24"/>
          <w:szCs w:val="24"/>
        </w:rPr>
      </w:pPr>
    </w:p>
    <w:tbl>
      <w:tblPr>
        <w:tblStyle w:val="MediumGrid3-Accent5"/>
        <w:tblW w:w="0" w:type="auto"/>
        <w:tblLook w:val="04A0" w:firstRow="1" w:lastRow="0" w:firstColumn="1" w:lastColumn="0" w:noHBand="0" w:noVBand="1"/>
      </w:tblPr>
      <w:tblGrid>
        <w:gridCol w:w="3192"/>
        <w:gridCol w:w="3192"/>
        <w:gridCol w:w="3192"/>
      </w:tblGrid>
      <w:tr w:rsidR="00DB3F0D" w:rsidTr="008D7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DB3F0D" w:rsidRDefault="00DB3F0D" w:rsidP="00075134">
            <w:pPr>
              <w:pStyle w:val="NoSpacing"/>
              <w:rPr>
                <w:sz w:val="24"/>
                <w:szCs w:val="24"/>
              </w:rPr>
            </w:pPr>
            <w:r>
              <w:rPr>
                <w:sz w:val="24"/>
                <w:szCs w:val="24"/>
              </w:rPr>
              <w:t>Population by Race and Ethnicity, Comparison 2012 to 2014</w:t>
            </w:r>
          </w:p>
        </w:tc>
      </w:tr>
      <w:tr w:rsidR="00DB3F0D" w:rsidTr="008D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B3F0D" w:rsidRDefault="00DB3F0D" w:rsidP="00075134">
            <w:pPr>
              <w:pStyle w:val="NoSpacing"/>
              <w:rPr>
                <w:sz w:val="24"/>
                <w:szCs w:val="24"/>
              </w:rPr>
            </w:pPr>
          </w:p>
        </w:tc>
        <w:tc>
          <w:tcPr>
            <w:tcW w:w="3192" w:type="dxa"/>
          </w:tcPr>
          <w:p w:rsidR="00DB3F0D" w:rsidRPr="00DB3F0D" w:rsidRDefault="00DB3F0D" w:rsidP="00DB3F0D">
            <w:pPr>
              <w:pStyle w:val="NoSpacing"/>
              <w:jc w:val="center"/>
              <w:cnfStyle w:val="000000100000" w:firstRow="0" w:lastRow="0" w:firstColumn="0" w:lastColumn="0" w:oddVBand="0" w:evenVBand="0" w:oddHBand="1" w:evenHBand="0" w:firstRowFirstColumn="0" w:firstRowLastColumn="0" w:lastRowFirstColumn="0" w:lastRowLastColumn="0"/>
              <w:rPr>
                <w:i/>
                <w:sz w:val="24"/>
                <w:szCs w:val="24"/>
              </w:rPr>
            </w:pPr>
            <w:r w:rsidRPr="00DB3F0D">
              <w:rPr>
                <w:i/>
                <w:sz w:val="24"/>
                <w:szCs w:val="24"/>
              </w:rPr>
              <w:t>Percentage of Population 2012</w:t>
            </w:r>
          </w:p>
        </w:tc>
        <w:tc>
          <w:tcPr>
            <w:tcW w:w="3192" w:type="dxa"/>
          </w:tcPr>
          <w:p w:rsidR="00DB3F0D" w:rsidRPr="00DB3F0D" w:rsidRDefault="00DB3F0D" w:rsidP="00DB3F0D">
            <w:pPr>
              <w:pStyle w:val="NoSpacing"/>
              <w:jc w:val="center"/>
              <w:cnfStyle w:val="000000100000" w:firstRow="0" w:lastRow="0" w:firstColumn="0" w:lastColumn="0" w:oddVBand="0" w:evenVBand="0" w:oddHBand="1" w:evenHBand="0" w:firstRowFirstColumn="0" w:firstRowLastColumn="0" w:lastRowFirstColumn="0" w:lastRowLastColumn="0"/>
              <w:rPr>
                <w:i/>
                <w:sz w:val="24"/>
                <w:szCs w:val="24"/>
              </w:rPr>
            </w:pPr>
            <w:r w:rsidRPr="00DB3F0D">
              <w:rPr>
                <w:i/>
                <w:sz w:val="24"/>
                <w:szCs w:val="24"/>
              </w:rPr>
              <w:t>Percentage of Population 2014</w:t>
            </w:r>
          </w:p>
        </w:tc>
      </w:tr>
      <w:tr w:rsidR="00DB3F0D" w:rsidTr="008D7FFC">
        <w:tc>
          <w:tcPr>
            <w:cnfStyle w:val="001000000000" w:firstRow="0" w:lastRow="0" w:firstColumn="1" w:lastColumn="0" w:oddVBand="0" w:evenVBand="0" w:oddHBand="0" w:evenHBand="0" w:firstRowFirstColumn="0" w:firstRowLastColumn="0" w:lastRowFirstColumn="0" w:lastRowLastColumn="0"/>
            <w:tcW w:w="3192" w:type="dxa"/>
          </w:tcPr>
          <w:p w:rsidR="00DB3F0D" w:rsidRDefault="00DB3F0D" w:rsidP="00075134">
            <w:pPr>
              <w:pStyle w:val="NoSpacing"/>
              <w:rPr>
                <w:sz w:val="24"/>
                <w:szCs w:val="24"/>
              </w:rPr>
            </w:pPr>
            <w:r>
              <w:rPr>
                <w:sz w:val="24"/>
                <w:szCs w:val="24"/>
              </w:rPr>
              <w:t>White Alone</w:t>
            </w:r>
          </w:p>
        </w:tc>
        <w:tc>
          <w:tcPr>
            <w:tcW w:w="3192" w:type="dxa"/>
          </w:tcPr>
          <w:p w:rsidR="00DB3F0D" w:rsidRDefault="00DB3F0D" w:rsidP="00DB3F0D">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79.2</w:t>
            </w:r>
          </w:p>
        </w:tc>
        <w:tc>
          <w:tcPr>
            <w:tcW w:w="3192" w:type="dxa"/>
          </w:tcPr>
          <w:p w:rsidR="00DB3F0D" w:rsidRDefault="00DB3F0D" w:rsidP="00DB3F0D">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77.8</w:t>
            </w:r>
          </w:p>
        </w:tc>
      </w:tr>
      <w:tr w:rsidR="00DB3F0D" w:rsidTr="008D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B3F0D" w:rsidRDefault="00DB3F0D" w:rsidP="00075134">
            <w:pPr>
              <w:pStyle w:val="NoSpacing"/>
              <w:rPr>
                <w:sz w:val="24"/>
                <w:szCs w:val="24"/>
              </w:rPr>
            </w:pPr>
            <w:r>
              <w:rPr>
                <w:sz w:val="24"/>
                <w:szCs w:val="24"/>
              </w:rPr>
              <w:t>Black Alone</w:t>
            </w:r>
          </w:p>
        </w:tc>
        <w:tc>
          <w:tcPr>
            <w:tcW w:w="3192" w:type="dxa"/>
          </w:tcPr>
          <w:p w:rsidR="00DB3F0D" w:rsidRDefault="00DB3F0D" w:rsidP="00DB3F0D">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11.9</w:t>
            </w:r>
          </w:p>
        </w:tc>
        <w:tc>
          <w:tcPr>
            <w:tcW w:w="3192" w:type="dxa"/>
          </w:tcPr>
          <w:p w:rsidR="00DB3F0D" w:rsidRDefault="00DB3F0D" w:rsidP="00DB3F0D">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12.8</w:t>
            </w:r>
          </w:p>
        </w:tc>
      </w:tr>
      <w:tr w:rsidR="00DB3F0D" w:rsidTr="008D7FFC">
        <w:tc>
          <w:tcPr>
            <w:cnfStyle w:val="001000000000" w:firstRow="0" w:lastRow="0" w:firstColumn="1" w:lastColumn="0" w:oddVBand="0" w:evenVBand="0" w:oddHBand="0" w:evenHBand="0" w:firstRowFirstColumn="0" w:firstRowLastColumn="0" w:lastRowFirstColumn="0" w:lastRowLastColumn="0"/>
            <w:tcW w:w="3192" w:type="dxa"/>
          </w:tcPr>
          <w:p w:rsidR="00DB3F0D" w:rsidRDefault="00DB3F0D" w:rsidP="00075134">
            <w:pPr>
              <w:pStyle w:val="NoSpacing"/>
              <w:rPr>
                <w:sz w:val="24"/>
                <w:szCs w:val="24"/>
              </w:rPr>
            </w:pPr>
            <w:r>
              <w:rPr>
                <w:sz w:val="24"/>
                <w:szCs w:val="24"/>
              </w:rPr>
              <w:t>Am. Indian &amp; Alaskan Native Alone</w:t>
            </w:r>
          </w:p>
        </w:tc>
        <w:tc>
          <w:tcPr>
            <w:tcW w:w="3192" w:type="dxa"/>
          </w:tcPr>
          <w:p w:rsidR="00DB3F0D" w:rsidRDefault="00DB3F0D" w:rsidP="00DB3F0D">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c>
          <w:tcPr>
            <w:tcW w:w="3192" w:type="dxa"/>
          </w:tcPr>
          <w:p w:rsidR="00DB3F0D" w:rsidRDefault="00DB3F0D" w:rsidP="00DB3F0D">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DB3F0D" w:rsidTr="008D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B3F0D" w:rsidRDefault="00DB3F0D" w:rsidP="00075134">
            <w:pPr>
              <w:pStyle w:val="NoSpacing"/>
              <w:rPr>
                <w:sz w:val="24"/>
                <w:szCs w:val="24"/>
              </w:rPr>
            </w:pPr>
            <w:r>
              <w:rPr>
                <w:sz w:val="24"/>
                <w:szCs w:val="24"/>
              </w:rPr>
              <w:t>Asian &amp; Pacific Islander Alone</w:t>
            </w:r>
          </w:p>
        </w:tc>
        <w:tc>
          <w:tcPr>
            <w:tcW w:w="3192" w:type="dxa"/>
          </w:tcPr>
          <w:p w:rsidR="00DB3F0D" w:rsidRDefault="00DB3F0D" w:rsidP="00DB3F0D">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c>
          <w:tcPr>
            <w:tcW w:w="3192" w:type="dxa"/>
          </w:tcPr>
          <w:p w:rsidR="00DB3F0D" w:rsidRDefault="00DB3F0D" w:rsidP="00DB3F0D">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w:t>
            </w:r>
          </w:p>
        </w:tc>
      </w:tr>
      <w:tr w:rsidR="00DB3F0D" w:rsidTr="008D7FFC">
        <w:tc>
          <w:tcPr>
            <w:cnfStyle w:val="001000000000" w:firstRow="0" w:lastRow="0" w:firstColumn="1" w:lastColumn="0" w:oddVBand="0" w:evenVBand="0" w:oddHBand="0" w:evenHBand="0" w:firstRowFirstColumn="0" w:firstRowLastColumn="0" w:lastRowFirstColumn="0" w:lastRowLastColumn="0"/>
            <w:tcW w:w="3192" w:type="dxa"/>
          </w:tcPr>
          <w:p w:rsidR="00DB3F0D" w:rsidRDefault="00DB3F0D" w:rsidP="00075134">
            <w:pPr>
              <w:pStyle w:val="NoSpacing"/>
              <w:rPr>
                <w:sz w:val="24"/>
                <w:szCs w:val="24"/>
              </w:rPr>
            </w:pPr>
            <w:r>
              <w:rPr>
                <w:sz w:val="24"/>
                <w:szCs w:val="24"/>
              </w:rPr>
              <w:t>Multiracial</w:t>
            </w:r>
          </w:p>
        </w:tc>
        <w:tc>
          <w:tcPr>
            <w:tcW w:w="3192" w:type="dxa"/>
          </w:tcPr>
          <w:p w:rsidR="00DB3F0D" w:rsidRDefault="008D7FFC" w:rsidP="00DB3F0D">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4.4</w:t>
            </w:r>
          </w:p>
        </w:tc>
        <w:tc>
          <w:tcPr>
            <w:tcW w:w="3192" w:type="dxa"/>
          </w:tcPr>
          <w:p w:rsidR="00DB3F0D" w:rsidRDefault="008D7FFC" w:rsidP="00DB3F0D">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4.7</w:t>
            </w:r>
          </w:p>
        </w:tc>
      </w:tr>
      <w:tr w:rsidR="00DB3F0D" w:rsidTr="008D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B3F0D" w:rsidRDefault="008D7FFC" w:rsidP="00075134">
            <w:pPr>
              <w:pStyle w:val="NoSpacing"/>
              <w:rPr>
                <w:sz w:val="24"/>
                <w:szCs w:val="24"/>
              </w:rPr>
            </w:pPr>
            <w:r>
              <w:rPr>
                <w:sz w:val="24"/>
                <w:szCs w:val="24"/>
              </w:rPr>
              <w:t>Hispanic</w:t>
            </w:r>
          </w:p>
        </w:tc>
        <w:tc>
          <w:tcPr>
            <w:tcW w:w="3192" w:type="dxa"/>
          </w:tcPr>
          <w:p w:rsidR="00DB3F0D" w:rsidRDefault="008D7FFC" w:rsidP="00DB3F0D">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9.7</w:t>
            </w:r>
          </w:p>
        </w:tc>
        <w:tc>
          <w:tcPr>
            <w:tcW w:w="3192" w:type="dxa"/>
          </w:tcPr>
          <w:p w:rsidR="00DB3F0D" w:rsidRDefault="008D7FFC" w:rsidP="00DB3F0D">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10.7</w:t>
            </w:r>
          </w:p>
        </w:tc>
      </w:tr>
    </w:tbl>
    <w:p w:rsidR="00DB3F0D" w:rsidRPr="00FA4E0E" w:rsidRDefault="00FA4E0E" w:rsidP="00075134">
      <w:pPr>
        <w:pStyle w:val="NoSpacing"/>
        <w:rPr>
          <w:sz w:val="18"/>
          <w:szCs w:val="18"/>
        </w:rPr>
      </w:pPr>
      <w:r w:rsidRPr="00FA4E0E">
        <w:rPr>
          <w:sz w:val="18"/>
          <w:szCs w:val="18"/>
        </w:rPr>
        <w:t>Table 1.1- Source: Census Bureau, State &amp; County Quick Facts: Pulaski County, Missouri</w:t>
      </w:r>
    </w:p>
    <w:p w:rsidR="008D7FFC" w:rsidRDefault="008D7FFC" w:rsidP="00075134">
      <w:pPr>
        <w:pStyle w:val="NoSpacing"/>
        <w:rPr>
          <w:sz w:val="24"/>
          <w:szCs w:val="24"/>
        </w:rPr>
      </w:pPr>
    </w:p>
    <w:p w:rsidR="008D7FFC" w:rsidRDefault="00FA4E0E" w:rsidP="00075134">
      <w:pPr>
        <w:pStyle w:val="NoSpacing"/>
        <w:rPr>
          <w:b/>
          <w:sz w:val="24"/>
          <w:szCs w:val="24"/>
        </w:rPr>
      </w:pPr>
      <w:r>
        <w:rPr>
          <w:b/>
          <w:sz w:val="24"/>
          <w:szCs w:val="24"/>
        </w:rPr>
        <w:t>Income</w:t>
      </w:r>
      <w:r w:rsidR="00B43236">
        <w:rPr>
          <w:b/>
          <w:sz w:val="24"/>
          <w:szCs w:val="24"/>
        </w:rPr>
        <w:t xml:space="preserve"> &amp; Poverty</w:t>
      </w:r>
    </w:p>
    <w:p w:rsidR="00FA4E0E" w:rsidRDefault="00FA4E0E" w:rsidP="00075134">
      <w:pPr>
        <w:pStyle w:val="NoSpacing"/>
        <w:rPr>
          <w:b/>
          <w:sz w:val="24"/>
          <w:szCs w:val="24"/>
        </w:rPr>
      </w:pPr>
    </w:p>
    <w:p w:rsidR="00FA4E0E" w:rsidRDefault="00FA4E0E" w:rsidP="00075134">
      <w:pPr>
        <w:pStyle w:val="NoSpacing"/>
        <w:rPr>
          <w:sz w:val="24"/>
          <w:szCs w:val="24"/>
        </w:rPr>
      </w:pPr>
      <w:r>
        <w:rPr>
          <w:sz w:val="24"/>
          <w:szCs w:val="24"/>
        </w:rPr>
        <w:t xml:space="preserve">The county poverty rate in 2014 was at 15.9 percent which is a bit higher than the state rate of 14.8 percent. The per capita income for the county has decreased from $20,168 in 2011 to $20,019 in 2014. This is also below the state’s average per capita income of $28,555. </w:t>
      </w:r>
      <w:r w:rsidR="00A425D3">
        <w:rPr>
          <w:sz w:val="24"/>
          <w:szCs w:val="24"/>
        </w:rPr>
        <w:t xml:space="preserve">Median household income in 2014 was at $49,604, lower than the state average of $53,482. Unemployment rates for 2014 were at 7.4% compared to the state unemployment rate of 6.1%. </w:t>
      </w:r>
      <w:r w:rsidR="00B43236">
        <w:rPr>
          <w:sz w:val="24"/>
          <w:szCs w:val="24"/>
        </w:rPr>
        <w:t xml:space="preserve">Of the current population under the age of 65, </w:t>
      </w:r>
      <w:r w:rsidR="0000758E">
        <w:rPr>
          <w:sz w:val="24"/>
          <w:szCs w:val="24"/>
        </w:rPr>
        <w:t xml:space="preserve">12.1 percent </w:t>
      </w:r>
      <w:r w:rsidR="00B43236">
        <w:rPr>
          <w:sz w:val="24"/>
          <w:szCs w:val="24"/>
        </w:rPr>
        <w:t>is living with a disability and 14.4 have no health insurance.</w:t>
      </w:r>
    </w:p>
    <w:p w:rsidR="00B43236" w:rsidRDefault="00B43236" w:rsidP="00075134">
      <w:pPr>
        <w:pStyle w:val="NoSpacing"/>
        <w:rPr>
          <w:sz w:val="24"/>
          <w:szCs w:val="24"/>
        </w:rPr>
      </w:pPr>
    </w:p>
    <w:p w:rsidR="00B43236" w:rsidRPr="00B43236" w:rsidRDefault="00B43236" w:rsidP="00075134">
      <w:pPr>
        <w:pStyle w:val="NoSpacing"/>
        <w:rPr>
          <w:b/>
          <w:sz w:val="24"/>
          <w:szCs w:val="24"/>
        </w:rPr>
      </w:pPr>
      <w:r>
        <w:rPr>
          <w:b/>
          <w:sz w:val="24"/>
          <w:szCs w:val="24"/>
        </w:rPr>
        <w:t>Environmental Health Risk Factors</w:t>
      </w:r>
    </w:p>
    <w:p w:rsidR="0000758E" w:rsidRDefault="0000758E" w:rsidP="00075134">
      <w:pPr>
        <w:pStyle w:val="NoSpacing"/>
        <w:rPr>
          <w:sz w:val="24"/>
          <w:szCs w:val="24"/>
        </w:rPr>
      </w:pPr>
    </w:p>
    <w:p w:rsidR="0000758E" w:rsidRDefault="00B43236" w:rsidP="00075134">
      <w:pPr>
        <w:pStyle w:val="NoSpacing"/>
        <w:rPr>
          <w:sz w:val="24"/>
          <w:szCs w:val="24"/>
        </w:rPr>
      </w:pPr>
      <w:r>
        <w:rPr>
          <w:sz w:val="24"/>
          <w:szCs w:val="24"/>
        </w:rPr>
        <w:t xml:space="preserve">In early 2015, complaints were filed with multiply government agencies on the cleanliness of our local rivers and current e-coli levels.  From a public health standpoint the Health Center worked on a plan to help protect local residents, patrons and tourists from potential e-coli infection. A partnership was formed with the Pulaski County Commission to launch a Water Monitoring Program to test </w:t>
      </w:r>
      <w:r w:rsidR="00A425D3">
        <w:rPr>
          <w:sz w:val="24"/>
          <w:szCs w:val="24"/>
        </w:rPr>
        <w:t xml:space="preserve">a total of </w:t>
      </w:r>
      <w:r>
        <w:rPr>
          <w:sz w:val="24"/>
          <w:szCs w:val="24"/>
        </w:rPr>
        <w:t xml:space="preserve">8-10 local </w:t>
      </w:r>
      <w:r w:rsidR="00A425D3">
        <w:rPr>
          <w:sz w:val="24"/>
          <w:szCs w:val="24"/>
        </w:rPr>
        <w:t>public access points on the Gasconade, Big Piney and Roubidoux. The program will be fully implemented in April 2016.</w:t>
      </w:r>
    </w:p>
    <w:p w:rsidR="00A425D3" w:rsidRDefault="00A425D3" w:rsidP="00075134">
      <w:pPr>
        <w:pStyle w:val="NoSpacing"/>
        <w:rPr>
          <w:sz w:val="24"/>
          <w:szCs w:val="24"/>
        </w:rPr>
      </w:pPr>
    </w:p>
    <w:p w:rsidR="00A425D3" w:rsidRDefault="00A425D3" w:rsidP="00075134">
      <w:pPr>
        <w:pStyle w:val="NoSpacing"/>
        <w:rPr>
          <w:sz w:val="24"/>
          <w:szCs w:val="24"/>
        </w:rPr>
      </w:pPr>
    </w:p>
    <w:p w:rsidR="00A425D3" w:rsidRDefault="00A425D3" w:rsidP="00075134">
      <w:pPr>
        <w:pStyle w:val="NoSpacing"/>
        <w:rPr>
          <w:b/>
          <w:sz w:val="24"/>
          <w:szCs w:val="24"/>
        </w:rPr>
      </w:pPr>
      <w:r>
        <w:rPr>
          <w:b/>
          <w:sz w:val="24"/>
          <w:szCs w:val="24"/>
        </w:rPr>
        <w:lastRenderedPageBreak/>
        <w:t>Public Safety</w:t>
      </w:r>
    </w:p>
    <w:p w:rsidR="00A425D3" w:rsidRDefault="00A425D3" w:rsidP="00075134">
      <w:pPr>
        <w:pStyle w:val="NoSpacing"/>
        <w:rPr>
          <w:b/>
          <w:sz w:val="24"/>
          <w:szCs w:val="24"/>
        </w:rPr>
      </w:pPr>
    </w:p>
    <w:p w:rsidR="006F53D8" w:rsidRPr="006F53D8" w:rsidRDefault="006F53D8" w:rsidP="00075134">
      <w:pPr>
        <w:pStyle w:val="NoSpacing"/>
        <w:rPr>
          <w:i/>
          <w:sz w:val="24"/>
          <w:szCs w:val="24"/>
          <w:u w:val="single"/>
        </w:rPr>
      </w:pPr>
      <w:r w:rsidRPr="006F53D8">
        <w:rPr>
          <w:i/>
          <w:sz w:val="24"/>
          <w:szCs w:val="24"/>
          <w:u w:val="single"/>
        </w:rPr>
        <w:t>Drug Use</w:t>
      </w:r>
    </w:p>
    <w:p w:rsidR="00A425D3" w:rsidRDefault="006F53D8" w:rsidP="00075134">
      <w:pPr>
        <w:pStyle w:val="NoSpacing"/>
        <w:rPr>
          <w:sz w:val="24"/>
          <w:szCs w:val="24"/>
        </w:rPr>
      </w:pPr>
      <w:r>
        <w:rPr>
          <w:sz w:val="24"/>
          <w:szCs w:val="24"/>
        </w:rPr>
        <w:t xml:space="preserve">Illicit drug continues to rise and plague Pulaski County as it does many others. In 2013 there were 431 drug related arrests, up from 306 in 2011 and 325 in 2012. In 2013, there were 9 drug induced deaths in the county. For FY2014, there were 48 drug court participants, 123 probation/parole admissions and 60 prison admissions on drug charges. In the 2013-2014 school year, there were 37 students disciplined for drug related offenses, there were also 5 disciplined for alcohol and 1 for tobacco. </w:t>
      </w:r>
    </w:p>
    <w:p w:rsidR="006F53D8" w:rsidRDefault="006F53D8" w:rsidP="00075134">
      <w:pPr>
        <w:pStyle w:val="NoSpacing"/>
        <w:rPr>
          <w:sz w:val="24"/>
          <w:szCs w:val="24"/>
        </w:rPr>
      </w:pPr>
    </w:p>
    <w:p w:rsidR="006F53D8" w:rsidRPr="00F950CE" w:rsidRDefault="00514734" w:rsidP="00075134">
      <w:pPr>
        <w:pStyle w:val="NoSpacing"/>
        <w:rPr>
          <w:i/>
          <w:sz w:val="24"/>
          <w:szCs w:val="24"/>
          <w:u w:val="single"/>
        </w:rPr>
      </w:pPr>
      <w:r w:rsidRPr="00F950CE">
        <w:rPr>
          <w:i/>
          <w:sz w:val="24"/>
          <w:szCs w:val="24"/>
          <w:u w:val="single"/>
        </w:rPr>
        <w:t>Death</w:t>
      </w:r>
      <w:r w:rsidR="00F950CE" w:rsidRPr="00F950CE">
        <w:rPr>
          <w:i/>
          <w:sz w:val="24"/>
          <w:szCs w:val="24"/>
          <w:u w:val="single"/>
        </w:rPr>
        <w:t xml:space="preserve"> &amp; Injury</w:t>
      </w:r>
    </w:p>
    <w:p w:rsidR="00514734" w:rsidRDefault="00514734" w:rsidP="00075134">
      <w:pPr>
        <w:pStyle w:val="NoSpacing"/>
        <w:rPr>
          <w:sz w:val="24"/>
          <w:szCs w:val="24"/>
        </w:rPr>
      </w:pPr>
    </w:p>
    <w:p w:rsidR="00514734" w:rsidRDefault="00514734" w:rsidP="00075134">
      <w:pPr>
        <w:pStyle w:val="NoSpacing"/>
        <w:rPr>
          <w:sz w:val="24"/>
          <w:szCs w:val="24"/>
        </w:rPr>
      </w:pPr>
      <w:r>
        <w:rPr>
          <w:sz w:val="24"/>
          <w:szCs w:val="24"/>
        </w:rPr>
        <w:t xml:space="preserve">There were 302 total deaths and </w:t>
      </w:r>
      <w:r w:rsidR="00F950CE">
        <w:rPr>
          <w:sz w:val="24"/>
          <w:szCs w:val="24"/>
        </w:rPr>
        <w:t>2396 injuries reported</w:t>
      </w:r>
      <w:r>
        <w:rPr>
          <w:sz w:val="24"/>
          <w:szCs w:val="24"/>
        </w:rPr>
        <w:t xml:space="preserve"> in Pulaski County in 2013. Table </w:t>
      </w:r>
      <w:r w:rsidR="00F950CE">
        <w:rPr>
          <w:sz w:val="24"/>
          <w:szCs w:val="24"/>
        </w:rPr>
        <w:t>4</w:t>
      </w:r>
      <w:r>
        <w:rPr>
          <w:sz w:val="24"/>
          <w:szCs w:val="24"/>
        </w:rPr>
        <w:t>.1 shows a breakdown of deaths and injuries in 2013 compared to the two years prior.</w:t>
      </w:r>
    </w:p>
    <w:p w:rsidR="00514734" w:rsidRDefault="00514734" w:rsidP="00075134">
      <w:pPr>
        <w:pStyle w:val="NoSpacing"/>
        <w:rPr>
          <w:sz w:val="24"/>
          <w:szCs w:val="24"/>
        </w:rPr>
      </w:pPr>
    </w:p>
    <w:tbl>
      <w:tblPr>
        <w:tblStyle w:val="MediumGrid3-Accent5"/>
        <w:tblW w:w="0" w:type="auto"/>
        <w:tblLook w:val="04A0" w:firstRow="1" w:lastRow="0" w:firstColumn="1" w:lastColumn="0" w:noHBand="0" w:noVBand="1"/>
      </w:tblPr>
      <w:tblGrid>
        <w:gridCol w:w="2718"/>
        <w:gridCol w:w="2340"/>
        <w:gridCol w:w="2340"/>
        <w:gridCol w:w="2178"/>
      </w:tblGrid>
      <w:tr w:rsidR="00514734" w:rsidTr="00514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Deaths &amp; Injuries</w:t>
            </w:r>
          </w:p>
        </w:tc>
        <w:tc>
          <w:tcPr>
            <w:tcW w:w="2340" w:type="dxa"/>
            <w:vAlign w:val="center"/>
          </w:tcPr>
          <w:p w:rsidR="00514734" w:rsidRDefault="00514734" w:rsidP="00514734">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2013</w:t>
            </w:r>
          </w:p>
        </w:tc>
        <w:tc>
          <w:tcPr>
            <w:tcW w:w="2340" w:type="dxa"/>
            <w:vAlign w:val="center"/>
          </w:tcPr>
          <w:p w:rsidR="00514734" w:rsidRDefault="00514734" w:rsidP="00514734">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2012</w:t>
            </w:r>
          </w:p>
        </w:tc>
        <w:tc>
          <w:tcPr>
            <w:tcW w:w="2178" w:type="dxa"/>
            <w:vAlign w:val="center"/>
          </w:tcPr>
          <w:p w:rsidR="00514734" w:rsidRDefault="00514734" w:rsidP="00514734">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2011</w:t>
            </w:r>
          </w:p>
        </w:tc>
      </w:tr>
      <w:tr w:rsidR="00514734" w:rsidTr="00514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Resident Deaths- Total</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302</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w:t>
            </w:r>
          </w:p>
        </w:tc>
        <w:tc>
          <w:tcPr>
            <w:tcW w:w="2178"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297</w:t>
            </w:r>
          </w:p>
        </w:tc>
      </w:tr>
      <w:tr w:rsidR="00F950CE" w:rsidTr="00514734">
        <w:tc>
          <w:tcPr>
            <w:cnfStyle w:val="001000000000" w:firstRow="0" w:lastRow="0" w:firstColumn="1" w:lastColumn="0" w:oddVBand="0" w:evenVBand="0" w:oddHBand="0" w:evenHBand="0" w:firstRowFirstColumn="0" w:firstRowLastColumn="0" w:lastRowFirstColumn="0" w:lastRowLastColumn="0"/>
            <w:tcW w:w="2718" w:type="dxa"/>
          </w:tcPr>
          <w:p w:rsidR="00F950CE" w:rsidRDefault="00F950CE" w:rsidP="00075134">
            <w:pPr>
              <w:pStyle w:val="NoSpacing"/>
              <w:rPr>
                <w:sz w:val="24"/>
                <w:szCs w:val="24"/>
              </w:rPr>
            </w:pPr>
            <w:r>
              <w:rPr>
                <w:sz w:val="24"/>
                <w:szCs w:val="24"/>
              </w:rPr>
              <w:t>Reported Injuries- Total</w:t>
            </w:r>
          </w:p>
        </w:tc>
        <w:tc>
          <w:tcPr>
            <w:tcW w:w="2340" w:type="dxa"/>
            <w:vAlign w:val="center"/>
          </w:tcPr>
          <w:p w:rsidR="00F950CE" w:rsidRDefault="00F950CE"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2396</w:t>
            </w:r>
          </w:p>
        </w:tc>
        <w:tc>
          <w:tcPr>
            <w:tcW w:w="2340" w:type="dxa"/>
            <w:vAlign w:val="center"/>
          </w:tcPr>
          <w:p w:rsidR="00F950CE" w:rsidRDefault="00F950CE"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2537</w:t>
            </w:r>
          </w:p>
        </w:tc>
        <w:tc>
          <w:tcPr>
            <w:tcW w:w="2178" w:type="dxa"/>
            <w:vAlign w:val="center"/>
          </w:tcPr>
          <w:p w:rsidR="00F950CE" w:rsidRDefault="00F950CE"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2614</w:t>
            </w:r>
          </w:p>
        </w:tc>
      </w:tr>
      <w:tr w:rsidR="00514734" w:rsidTr="00514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Suicides</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2178"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514734" w:rsidTr="00514734">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Self-Inflicted Injuries</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46</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c>
          <w:tcPr>
            <w:tcW w:w="2178"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53</w:t>
            </w:r>
          </w:p>
        </w:tc>
      </w:tr>
      <w:tr w:rsidR="00F950CE" w:rsidTr="00514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950CE" w:rsidRDefault="00F950CE" w:rsidP="00075134">
            <w:pPr>
              <w:pStyle w:val="NoSpacing"/>
              <w:rPr>
                <w:sz w:val="24"/>
                <w:szCs w:val="24"/>
              </w:rPr>
            </w:pPr>
            <w:r>
              <w:rPr>
                <w:sz w:val="24"/>
                <w:szCs w:val="24"/>
              </w:rPr>
              <w:t>Unintentional Injuries</w:t>
            </w:r>
          </w:p>
        </w:tc>
        <w:tc>
          <w:tcPr>
            <w:tcW w:w="2340" w:type="dxa"/>
            <w:vAlign w:val="center"/>
          </w:tcPr>
          <w:p w:rsidR="00F950CE" w:rsidRDefault="00F950CE"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2228</w:t>
            </w:r>
          </w:p>
        </w:tc>
        <w:tc>
          <w:tcPr>
            <w:tcW w:w="2340" w:type="dxa"/>
            <w:vAlign w:val="center"/>
          </w:tcPr>
          <w:p w:rsidR="00F950CE" w:rsidRDefault="00F950CE"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2361</w:t>
            </w:r>
          </w:p>
        </w:tc>
        <w:tc>
          <w:tcPr>
            <w:tcW w:w="2178" w:type="dxa"/>
            <w:vAlign w:val="center"/>
          </w:tcPr>
          <w:p w:rsidR="00F950CE" w:rsidRDefault="00F950CE"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2405</w:t>
            </w:r>
          </w:p>
        </w:tc>
      </w:tr>
      <w:tr w:rsidR="00514734" w:rsidTr="00514734">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Homicides</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2178"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r w:rsidR="00514734" w:rsidTr="00514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Assault Injuries</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101</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123</w:t>
            </w:r>
          </w:p>
        </w:tc>
        <w:tc>
          <w:tcPr>
            <w:tcW w:w="2178"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114</w:t>
            </w:r>
          </w:p>
        </w:tc>
      </w:tr>
      <w:tr w:rsidR="00514734" w:rsidTr="00514734">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Alcohol Induced Deaths</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178"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514734" w:rsidTr="00514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Drug Induced Deaths</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2340"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2178" w:type="dxa"/>
            <w:vAlign w:val="center"/>
          </w:tcPr>
          <w:p w:rsidR="00514734" w:rsidRDefault="00514734" w:rsidP="00514734">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r>
      <w:tr w:rsidR="00514734" w:rsidTr="00514734">
        <w:tc>
          <w:tcPr>
            <w:cnfStyle w:val="001000000000" w:firstRow="0" w:lastRow="0" w:firstColumn="1" w:lastColumn="0" w:oddVBand="0" w:evenVBand="0" w:oddHBand="0" w:evenHBand="0" w:firstRowFirstColumn="0" w:firstRowLastColumn="0" w:lastRowFirstColumn="0" w:lastRowLastColumn="0"/>
            <w:tcW w:w="2718" w:type="dxa"/>
          </w:tcPr>
          <w:p w:rsidR="00514734" w:rsidRDefault="00514734" w:rsidP="00075134">
            <w:pPr>
              <w:pStyle w:val="NoSpacing"/>
              <w:rPr>
                <w:sz w:val="24"/>
                <w:szCs w:val="24"/>
              </w:rPr>
            </w:pPr>
            <w:r>
              <w:rPr>
                <w:sz w:val="24"/>
                <w:szCs w:val="24"/>
              </w:rPr>
              <w:t>Smoking Attributable Deaths</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62</w:t>
            </w:r>
          </w:p>
        </w:tc>
        <w:tc>
          <w:tcPr>
            <w:tcW w:w="2340"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w:t>
            </w:r>
          </w:p>
        </w:tc>
        <w:tc>
          <w:tcPr>
            <w:tcW w:w="2178" w:type="dxa"/>
            <w:vAlign w:val="center"/>
          </w:tcPr>
          <w:p w:rsidR="00514734" w:rsidRDefault="00514734" w:rsidP="0051473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w:t>
            </w:r>
          </w:p>
        </w:tc>
      </w:tr>
    </w:tbl>
    <w:p w:rsidR="00514734" w:rsidRDefault="00514734" w:rsidP="00075134">
      <w:pPr>
        <w:pStyle w:val="NoSpacing"/>
        <w:rPr>
          <w:sz w:val="20"/>
          <w:szCs w:val="20"/>
        </w:rPr>
      </w:pPr>
      <w:r w:rsidRPr="00514734">
        <w:rPr>
          <w:sz w:val="20"/>
          <w:szCs w:val="20"/>
        </w:rPr>
        <w:t xml:space="preserve">Table </w:t>
      </w:r>
      <w:r w:rsidR="00F950CE">
        <w:rPr>
          <w:sz w:val="20"/>
          <w:szCs w:val="20"/>
        </w:rPr>
        <w:t>4</w:t>
      </w:r>
      <w:r w:rsidRPr="00514734">
        <w:rPr>
          <w:sz w:val="20"/>
          <w:szCs w:val="20"/>
        </w:rPr>
        <w:t>.1- Source: 2015 Status Report on Missouri’s Substance Use and Mental Health</w:t>
      </w:r>
      <w:r w:rsidR="00F950CE">
        <w:rPr>
          <w:sz w:val="20"/>
          <w:szCs w:val="20"/>
        </w:rPr>
        <w:t>; and MODHSS Injury MICA</w:t>
      </w:r>
    </w:p>
    <w:p w:rsidR="00514734" w:rsidRDefault="00514734" w:rsidP="00075134">
      <w:pPr>
        <w:pStyle w:val="NoSpacing"/>
        <w:rPr>
          <w:sz w:val="20"/>
          <w:szCs w:val="20"/>
        </w:rPr>
      </w:pPr>
    </w:p>
    <w:p w:rsidR="00867972" w:rsidRDefault="00867972" w:rsidP="00075134">
      <w:pPr>
        <w:pStyle w:val="NoSpacing"/>
        <w:rPr>
          <w:b/>
          <w:sz w:val="24"/>
          <w:szCs w:val="24"/>
        </w:rPr>
      </w:pPr>
    </w:p>
    <w:p w:rsidR="00514734" w:rsidRPr="00F950CE" w:rsidRDefault="00F950CE" w:rsidP="00075134">
      <w:pPr>
        <w:pStyle w:val="NoSpacing"/>
        <w:rPr>
          <w:b/>
          <w:sz w:val="24"/>
          <w:szCs w:val="24"/>
        </w:rPr>
      </w:pPr>
      <w:r w:rsidRPr="00F950CE">
        <w:rPr>
          <w:b/>
          <w:sz w:val="24"/>
          <w:szCs w:val="24"/>
        </w:rPr>
        <w:t>Maternal &amp; Child Health</w:t>
      </w:r>
    </w:p>
    <w:p w:rsidR="00F950CE" w:rsidRPr="00F950CE" w:rsidRDefault="00F950CE" w:rsidP="00075134">
      <w:pPr>
        <w:pStyle w:val="NoSpacing"/>
        <w:rPr>
          <w:sz w:val="24"/>
          <w:szCs w:val="24"/>
        </w:rPr>
      </w:pPr>
    </w:p>
    <w:p w:rsidR="00F950CE" w:rsidRDefault="00952417" w:rsidP="00075134">
      <w:pPr>
        <w:pStyle w:val="NoSpacing"/>
        <w:rPr>
          <w:sz w:val="24"/>
          <w:szCs w:val="24"/>
        </w:rPr>
      </w:pPr>
      <w:r>
        <w:rPr>
          <w:sz w:val="24"/>
          <w:szCs w:val="24"/>
        </w:rPr>
        <w:t xml:space="preserve">The indicators of a child’s well being include many factors such as socio &amp; economic and environmental. </w:t>
      </w:r>
      <w:r w:rsidR="00F07291">
        <w:rPr>
          <w:sz w:val="24"/>
          <w:szCs w:val="24"/>
        </w:rPr>
        <w:t xml:space="preserve">There are currently 16,352 children under the age of 19 in Pulaski County. Chart 5.1 shows the breakdown of the children &amp; adolescent population ages by gender. </w:t>
      </w:r>
    </w:p>
    <w:p w:rsidR="00F07291" w:rsidRDefault="00F07291" w:rsidP="00075134">
      <w:pPr>
        <w:pStyle w:val="NoSpacing"/>
        <w:rPr>
          <w:sz w:val="24"/>
          <w:szCs w:val="24"/>
        </w:rPr>
      </w:pPr>
    </w:p>
    <w:p w:rsidR="00F07291" w:rsidRDefault="00F07291" w:rsidP="008E6CDE">
      <w:pPr>
        <w:pStyle w:val="NoSpacing"/>
        <w:rPr>
          <w:sz w:val="24"/>
          <w:szCs w:val="24"/>
        </w:rPr>
      </w:pPr>
      <w:r>
        <w:rPr>
          <w:noProof/>
          <w:sz w:val="24"/>
          <w:szCs w:val="24"/>
        </w:rPr>
        <w:lastRenderedPageBreak/>
        <w:drawing>
          <wp:inline distT="0" distB="0" distL="0" distR="0">
            <wp:extent cx="5248275" cy="32861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2417" w:rsidRDefault="008E6CDE" w:rsidP="008E6CDE">
      <w:pPr>
        <w:pStyle w:val="NoSpacing"/>
        <w:rPr>
          <w:sz w:val="24"/>
          <w:szCs w:val="24"/>
        </w:rPr>
      </w:pPr>
      <w:r>
        <w:rPr>
          <w:sz w:val="24"/>
          <w:szCs w:val="24"/>
        </w:rPr>
        <w:t xml:space="preserve">Chart 5.1- Source: MO DHSS, Population MICA </w:t>
      </w:r>
    </w:p>
    <w:p w:rsidR="008E6CDE" w:rsidRDefault="008E6CDE" w:rsidP="00952417">
      <w:pPr>
        <w:pStyle w:val="NoSpacing"/>
        <w:rPr>
          <w:sz w:val="24"/>
          <w:szCs w:val="24"/>
        </w:rPr>
      </w:pPr>
    </w:p>
    <w:p w:rsidR="00867972" w:rsidRDefault="00867972" w:rsidP="00952417">
      <w:pPr>
        <w:pStyle w:val="NoSpacing"/>
        <w:rPr>
          <w:sz w:val="24"/>
          <w:szCs w:val="24"/>
        </w:rPr>
      </w:pPr>
    </w:p>
    <w:p w:rsidR="00952417" w:rsidRDefault="00952417" w:rsidP="00952417">
      <w:pPr>
        <w:pStyle w:val="NoSpacing"/>
        <w:rPr>
          <w:sz w:val="24"/>
          <w:szCs w:val="24"/>
        </w:rPr>
      </w:pPr>
      <w:r>
        <w:rPr>
          <w:sz w:val="24"/>
          <w:szCs w:val="24"/>
        </w:rPr>
        <w:t xml:space="preserve">The 2015 County Health Rankings shows multiple areas that impact family health. </w:t>
      </w:r>
      <w:r w:rsidR="008E6CDE">
        <w:rPr>
          <w:sz w:val="24"/>
          <w:szCs w:val="24"/>
        </w:rPr>
        <w:t>Table 5.1 shows some of these areas and how well we are doing as compared with the State of Missouri.</w:t>
      </w:r>
    </w:p>
    <w:p w:rsidR="008E6CDE" w:rsidRDefault="008E6CDE" w:rsidP="00952417">
      <w:pPr>
        <w:pStyle w:val="NoSpacing"/>
        <w:rPr>
          <w:sz w:val="24"/>
          <w:szCs w:val="24"/>
        </w:rPr>
      </w:pPr>
    </w:p>
    <w:tbl>
      <w:tblPr>
        <w:tblStyle w:val="MediumGrid3-Accent5"/>
        <w:tblW w:w="0" w:type="auto"/>
        <w:tblLook w:val="04A0" w:firstRow="1" w:lastRow="0" w:firstColumn="1" w:lastColumn="0" w:noHBand="0" w:noVBand="1"/>
      </w:tblPr>
      <w:tblGrid>
        <w:gridCol w:w="4968"/>
        <w:gridCol w:w="2340"/>
        <w:gridCol w:w="2268"/>
      </w:tblGrid>
      <w:tr w:rsidR="00867972" w:rsidTr="00867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Health Factor</w:t>
            </w:r>
          </w:p>
        </w:tc>
        <w:tc>
          <w:tcPr>
            <w:tcW w:w="2340" w:type="dxa"/>
          </w:tcPr>
          <w:p w:rsidR="00867972" w:rsidRDefault="00867972" w:rsidP="00867972">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Pulaski County</w:t>
            </w:r>
          </w:p>
        </w:tc>
        <w:tc>
          <w:tcPr>
            <w:tcW w:w="2268" w:type="dxa"/>
          </w:tcPr>
          <w:p w:rsidR="00867972" w:rsidRDefault="00867972" w:rsidP="00867972">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State of Missouri</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Adult Smoking</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r>
      <w:tr w:rsidR="00867972" w:rsidTr="00867972">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Adult Obesity</w:t>
            </w:r>
          </w:p>
        </w:tc>
        <w:tc>
          <w:tcPr>
            <w:tcW w:w="2340"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tc>
        <w:tc>
          <w:tcPr>
            <w:tcW w:w="2268"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Food Environment index</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6.6</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7.0</w:t>
            </w:r>
          </w:p>
        </w:tc>
      </w:tr>
      <w:tr w:rsidR="00867972" w:rsidTr="00867972">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Physical Inactivity</w:t>
            </w:r>
          </w:p>
        </w:tc>
        <w:tc>
          <w:tcPr>
            <w:tcW w:w="2340"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w:t>
            </w:r>
          </w:p>
        </w:tc>
        <w:tc>
          <w:tcPr>
            <w:tcW w:w="2268"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Access to exercise opportunities</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62%</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77%</w:t>
            </w:r>
          </w:p>
        </w:tc>
      </w:tr>
      <w:tr w:rsidR="00867972" w:rsidTr="00867972">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Excessive drinking</w:t>
            </w:r>
          </w:p>
        </w:tc>
        <w:tc>
          <w:tcPr>
            <w:tcW w:w="2340"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w:t>
            </w:r>
          </w:p>
        </w:tc>
        <w:tc>
          <w:tcPr>
            <w:tcW w:w="2268"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Teen Births</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33</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w:t>
            </w:r>
          </w:p>
        </w:tc>
      </w:tr>
      <w:tr w:rsidR="00867972" w:rsidTr="00867972">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Uninsured</w:t>
            </w:r>
          </w:p>
        </w:tc>
        <w:tc>
          <w:tcPr>
            <w:tcW w:w="2340"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w:t>
            </w:r>
          </w:p>
        </w:tc>
        <w:tc>
          <w:tcPr>
            <w:tcW w:w="2268"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High School Graduation</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85%</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86%</w:t>
            </w:r>
          </w:p>
        </w:tc>
      </w:tr>
      <w:tr w:rsidR="00867972" w:rsidTr="00867972">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Unemployment</w:t>
            </w:r>
          </w:p>
        </w:tc>
        <w:tc>
          <w:tcPr>
            <w:tcW w:w="2340"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7.5%</w:t>
            </w:r>
          </w:p>
        </w:tc>
        <w:tc>
          <w:tcPr>
            <w:tcW w:w="2268"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6.5%</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Children in Poverty</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r>
      <w:tr w:rsidR="00867972" w:rsidTr="00867972">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Children in single-parent households</w:t>
            </w:r>
          </w:p>
        </w:tc>
        <w:tc>
          <w:tcPr>
            <w:tcW w:w="2340"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w:t>
            </w:r>
          </w:p>
        </w:tc>
        <w:tc>
          <w:tcPr>
            <w:tcW w:w="2268" w:type="dxa"/>
          </w:tcPr>
          <w:p w:rsidR="00867972" w:rsidRDefault="00867972" w:rsidP="00867972">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tc>
      </w:tr>
      <w:tr w:rsidR="00867972" w:rsidTr="0086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867972" w:rsidRDefault="00867972" w:rsidP="00952417">
            <w:pPr>
              <w:pStyle w:val="NoSpacing"/>
              <w:rPr>
                <w:sz w:val="24"/>
                <w:szCs w:val="24"/>
              </w:rPr>
            </w:pPr>
            <w:r>
              <w:rPr>
                <w:sz w:val="24"/>
                <w:szCs w:val="24"/>
              </w:rPr>
              <w:t>Severe housing problems</w:t>
            </w:r>
          </w:p>
        </w:tc>
        <w:tc>
          <w:tcPr>
            <w:tcW w:w="2340"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p>
        </w:tc>
        <w:tc>
          <w:tcPr>
            <w:tcW w:w="2268" w:type="dxa"/>
          </w:tcPr>
          <w:p w:rsidR="00867972" w:rsidRDefault="00867972" w:rsidP="00867972">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r>
    </w:tbl>
    <w:p w:rsidR="008E6CDE" w:rsidRDefault="00867972" w:rsidP="00952417">
      <w:pPr>
        <w:pStyle w:val="NoSpacing"/>
        <w:rPr>
          <w:sz w:val="24"/>
          <w:szCs w:val="24"/>
        </w:rPr>
      </w:pPr>
      <w:r>
        <w:rPr>
          <w:sz w:val="24"/>
          <w:szCs w:val="24"/>
        </w:rPr>
        <w:t>Table 5.1- Source: County Health Rankings, 2015</w:t>
      </w:r>
    </w:p>
    <w:p w:rsidR="00867972" w:rsidRDefault="00867972" w:rsidP="00952417">
      <w:pPr>
        <w:pStyle w:val="NoSpacing"/>
        <w:rPr>
          <w:sz w:val="24"/>
          <w:szCs w:val="24"/>
        </w:rPr>
      </w:pPr>
    </w:p>
    <w:p w:rsidR="00867972" w:rsidRDefault="00867972" w:rsidP="00952417">
      <w:pPr>
        <w:pStyle w:val="NoSpacing"/>
        <w:rPr>
          <w:sz w:val="24"/>
          <w:szCs w:val="24"/>
        </w:rPr>
      </w:pPr>
    </w:p>
    <w:p w:rsidR="00867972" w:rsidRDefault="00867972" w:rsidP="00952417">
      <w:pPr>
        <w:pStyle w:val="NoSpacing"/>
        <w:rPr>
          <w:sz w:val="24"/>
          <w:szCs w:val="24"/>
        </w:rPr>
      </w:pPr>
    </w:p>
    <w:p w:rsidR="00867972" w:rsidRDefault="00867972" w:rsidP="00952417">
      <w:pPr>
        <w:pStyle w:val="NoSpacing"/>
        <w:rPr>
          <w:sz w:val="24"/>
          <w:szCs w:val="24"/>
        </w:rPr>
      </w:pPr>
    </w:p>
    <w:p w:rsidR="00867972" w:rsidRDefault="00867972" w:rsidP="00952417">
      <w:pPr>
        <w:pStyle w:val="NoSpacing"/>
        <w:rPr>
          <w:b/>
          <w:sz w:val="24"/>
          <w:szCs w:val="24"/>
        </w:rPr>
      </w:pPr>
      <w:r>
        <w:rPr>
          <w:b/>
          <w:sz w:val="24"/>
          <w:szCs w:val="24"/>
        </w:rPr>
        <w:lastRenderedPageBreak/>
        <w:t>W</w:t>
      </w:r>
      <w:r w:rsidR="0035596B">
        <w:rPr>
          <w:b/>
          <w:sz w:val="24"/>
          <w:szCs w:val="24"/>
        </w:rPr>
        <w:t xml:space="preserve">omen, Infants &amp; </w:t>
      </w:r>
      <w:r>
        <w:rPr>
          <w:b/>
          <w:sz w:val="24"/>
          <w:szCs w:val="24"/>
        </w:rPr>
        <w:t>C</w:t>
      </w:r>
      <w:r w:rsidR="0035596B">
        <w:rPr>
          <w:b/>
          <w:sz w:val="24"/>
          <w:szCs w:val="24"/>
        </w:rPr>
        <w:t>hildren (WIC)</w:t>
      </w:r>
    </w:p>
    <w:p w:rsidR="00867972" w:rsidRDefault="00867972" w:rsidP="00952417">
      <w:pPr>
        <w:pStyle w:val="NoSpacing"/>
        <w:rPr>
          <w:b/>
          <w:sz w:val="24"/>
          <w:szCs w:val="24"/>
        </w:rPr>
      </w:pPr>
    </w:p>
    <w:p w:rsidR="00867972" w:rsidRDefault="00867972" w:rsidP="00952417">
      <w:pPr>
        <w:pStyle w:val="NoSpacing"/>
        <w:rPr>
          <w:sz w:val="24"/>
          <w:szCs w:val="24"/>
        </w:rPr>
      </w:pPr>
      <w:r>
        <w:rPr>
          <w:sz w:val="24"/>
          <w:szCs w:val="24"/>
        </w:rPr>
        <w:t xml:space="preserve">WIC participation continues to decline despite efforts to recruit new eligible clients. </w:t>
      </w:r>
      <w:r w:rsidR="0035596B">
        <w:rPr>
          <w:sz w:val="24"/>
          <w:szCs w:val="24"/>
        </w:rPr>
        <w:t xml:space="preserve"> Chart 6.1 below shows the trend of participation since FY2011. Note: The WIC fiscal year runs October 1 – September 30. </w:t>
      </w:r>
    </w:p>
    <w:p w:rsidR="0035596B" w:rsidRDefault="0035596B" w:rsidP="00952417">
      <w:pPr>
        <w:pStyle w:val="NoSpacing"/>
        <w:rPr>
          <w:sz w:val="24"/>
          <w:szCs w:val="24"/>
        </w:rPr>
      </w:pPr>
    </w:p>
    <w:p w:rsidR="0035596B" w:rsidRDefault="0035596B" w:rsidP="00952417">
      <w:pPr>
        <w:pStyle w:val="NoSpacing"/>
        <w:rPr>
          <w:sz w:val="24"/>
          <w:szCs w:val="24"/>
        </w:rPr>
      </w:pPr>
      <w:r>
        <w:rPr>
          <w:noProof/>
          <w:sz w:val="24"/>
          <w:szCs w:val="24"/>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596B" w:rsidRPr="00FE111C" w:rsidRDefault="00FE111C" w:rsidP="00952417">
      <w:pPr>
        <w:pStyle w:val="NoSpacing"/>
        <w:rPr>
          <w:sz w:val="20"/>
          <w:szCs w:val="20"/>
        </w:rPr>
      </w:pPr>
      <w:r w:rsidRPr="00FE111C">
        <w:rPr>
          <w:sz w:val="20"/>
          <w:szCs w:val="20"/>
        </w:rPr>
        <w:t>Table 6.1</w:t>
      </w:r>
      <w:r>
        <w:rPr>
          <w:sz w:val="20"/>
          <w:szCs w:val="20"/>
        </w:rPr>
        <w:t>-</w:t>
      </w:r>
      <w:r w:rsidRPr="00FE111C">
        <w:rPr>
          <w:sz w:val="20"/>
          <w:szCs w:val="20"/>
        </w:rPr>
        <w:t xml:space="preserve"> Source: Pulaski County Health Center Board Report, October 2015</w:t>
      </w:r>
    </w:p>
    <w:p w:rsidR="00FE111C" w:rsidRDefault="00FE111C" w:rsidP="00952417">
      <w:pPr>
        <w:pStyle w:val="NoSpacing"/>
        <w:rPr>
          <w:sz w:val="24"/>
          <w:szCs w:val="24"/>
        </w:rPr>
      </w:pPr>
    </w:p>
    <w:p w:rsidR="00FE111C" w:rsidRDefault="00FE111C" w:rsidP="00952417">
      <w:pPr>
        <w:pStyle w:val="NoSpacing"/>
        <w:rPr>
          <w:b/>
          <w:sz w:val="24"/>
          <w:szCs w:val="24"/>
        </w:rPr>
      </w:pPr>
    </w:p>
    <w:p w:rsidR="00FE111C" w:rsidRDefault="00FE111C" w:rsidP="00952417">
      <w:pPr>
        <w:pStyle w:val="NoSpacing"/>
        <w:rPr>
          <w:b/>
          <w:sz w:val="24"/>
          <w:szCs w:val="24"/>
        </w:rPr>
      </w:pPr>
      <w:r>
        <w:rPr>
          <w:b/>
          <w:sz w:val="24"/>
          <w:szCs w:val="24"/>
        </w:rPr>
        <w:t>Communicable Disease</w:t>
      </w:r>
    </w:p>
    <w:p w:rsidR="00FE111C" w:rsidRDefault="00FE111C" w:rsidP="00952417">
      <w:pPr>
        <w:pStyle w:val="NoSpacing"/>
        <w:rPr>
          <w:b/>
          <w:sz w:val="24"/>
          <w:szCs w:val="24"/>
        </w:rPr>
      </w:pPr>
    </w:p>
    <w:p w:rsidR="00FE111C" w:rsidRPr="00584AC6" w:rsidRDefault="00FE111C" w:rsidP="00584AC6">
      <w:pPr>
        <w:pStyle w:val="NoSpacing"/>
        <w:rPr>
          <w:sz w:val="24"/>
          <w:szCs w:val="24"/>
        </w:rPr>
      </w:pPr>
      <w:r w:rsidRPr="00584AC6">
        <w:rPr>
          <w:sz w:val="24"/>
          <w:szCs w:val="24"/>
        </w:rPr>
        <w:t xml:space="preserve">The prevention and spread of disease is a major public health concern.  Prevention programs by education and/or screenings are provided throughout the community via presentations, display boards, news releases and public health updates.  </w:t>
      </w:r>
    </w:p>
    <w:p w:rsidR="00584AC6" w:rsidRDefault="00584AC6" w:rsidP="00584AC6">
      <w:pPr>
        <w:pStyle w:val="NoSpacing"/>
        <w:rPr>
          <w:sz w:val="24"/>
          <w:szCs w:val="24"/>
        </w:rPr>
      </w:pPr>
    </w:p>
    <w:p w:rsidR="00FE111C" w:rsidRPr="00584AC6" w:rsidRDefault="00FE111C" w:rsidP="00584AC6">
      <w:pPr>
        <w:pStyle w:val="NoSpacing"/>
        <w:rPr>
          <w:sz w:val="24"/>
          <w:szCs w:val="24"/>
        </w:rPr>
      </w:pPr>
      <w:r w:rsidRPr="00584AC6">
        <w:rPr>
          <w:sz w:val="24"/>
          <w:szCs w:val="24"/>
        </w:rPr>
        <w:t>Disease surveillance of local doctor’s offices, schools, nursing homes and child care facilities is collected and analyzed by the health department’s CD nurse and is forwarded to the Region Epidemiologist.  The environmental specialist and/or community health nurse investigates any disease with an abnormal amount of increase.</w:t>
      </w:r>
      <w:r w:rsidR="00584AC6">
        <w:rPr>
          <w:sz w:val="24"/>
          <w:szCs w:val="24"/>
        </w:rPr>
        <w:t xml:space="preserve">  </w:t>
      </w:r>
      <w:r w:rsidRPr="00584AC6">
        <w:rPr>
          <w:sz w:val="24"/>
          <w:szCs w:val="24"/>
        </w:rPr>
        <w:t>The leading communicable disease in Pulaski County is sexually transmitted diseases, which includes Chlamydia, Gonorrhea, and Syphilis.</w:t>
      </w:r>
    </w:p>
    <w:p w:rsidR="00584AC6" w:rsidRDefault="00584AC6" w:rsidP="00584AC6">
      <w:pPr>
        <w:pStyle w:val="NoSpacing"/>
        <w:rPr>
          <w:b/>
          <w:sz w:val="24"/>
          <w:szCs w:val="24"/>
          <w:u w:val="single"/>
        </w:rPr>
      </w:pPr>
    </w:p>
    <w:p w:rsidR="00584AC6" w:rsidRDefault="00FE111C" w:rsidP="00584AC6">
      <w:pPr>
        <w:pStyle w:val="NoSpacing"/>
        <w:rPr>
          <w:sz w:val="24"/>
          <w:szCs w:val="24"/>
        </w:rPr>
      </w:pPr>
      <w:r w:rsidRPr="00584AC6">
        <w:rPr>
          <w:b/>
          <w:sz w:val="24"/>
          <w:szCs w:val="24"/>
          <w:u w:val="single"/>
        </w:rPr>
        <w:t>Sexually Transmitted Disease:</w:t>
      </w:r>
      <w:r w:rsidRPr="00584AC6">
        <w:rPr>
          <w:sz w:val="24"/>
          <w:szCs w:val="24"/>
        </w:rPr>
        <w:t xml:space="preserve"> The health department does testing and treatment for sexually transmitted diseases during walk-in clinics on Mondays and by appointment Tuesday through Thursday.  Treatment is provided to all positive cases and their partner(s).  There were 124 office visits in 2014 for STD testing and treatment.  Services for testing and treatment are on sliding scale fee and waived if patient cannot pay. There were 394 cases in 2014. </w:t>
      </w:r>
    </w:p>
    <w:p w:rsidR="00FE111C" w:rsidRPr="00584AC6" w:rsidRDefault="00FE111C" w:rsidP="00584AC6">
      <w:pPr>
        <w:pStyle w:val="NoSpacing"/>
        <w:rPr>
          <w:sz w:val="24"/>
          <w:szCs w:val="24"/>
        </w:rPr>
      </w:pPr>
      <w:r w:rsidRPr="00584AC6">
        <w:rPr>
          <w:sz w:val="24"/>
          <w:szCs w:val="24"/>
        </w:rPr>
        <w:lastRenderedPageBreak/>
        <w:t xml:space="preserve">Chart 7.1 below shows the 2014 trend analysis of incidence or number of sexually transmitted diseases (Chlamydia, gonorrhea, and syphilis) in Pulaski County.  </w:t>
      </w:r>
    </w:p>
    <w:p w:rsidR="00FE111C" w:rsidRPr="004654B3" w:rsidRDefault="00FE111C" w:rsidP="00FE111C">
      <w:pPr>
        <w:jc w:val="both"/>
        <w:rPr>
          <w:sz w:val="24"/>
          <w:szCs w:val="24"/>
        </w:rPr>
      </w:pPr>
      <w:r w:rsidRPr="004654B3">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145415</wp:posOffset>
            </wp:positionV>
            <wp:extent cx="5305425" cy="2057400"/>
            <wp:effectExtent l="19050" t="0" r="0" b="0"/>
            <wp:wrapNone/>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E111C" w:rsidRPr="004654B3" w:rsidRDefault="00FE111C" w:rsidP="00FE111C">
      <w:pPr>
        <w:jc w:val="both"/>
        <w:rPr>
          <w:sz w:val="24"/>
          <w:szCs w:val="24"/>
        </w:rPr>
      </w:pPr>
    </w:p>
    <w:p w:rsidR="00FE111C" w:rsidRPr="004654B3" w:rsidRDefault="00FE111C" w:rsidP="00FE111C">
      <w:pPr>
        <w:jc w:val="both"/>
        <w:rPr>
          <w:sz w:val="24"/>
          <w:szCs w:val="24"/>
        </w:rPr>
      </w:pPr>
    </w:p>
    <w:p w:rsidR="00FE111C" w:rsidRPr="004654B3" w:rsidRDefault="00FE111C" w:rsidP="00FE111C">
      <w:pPr>
        <w:jc w:val="both"/>
        <w:rPr>
          <w:sz w:val="24"/>
          <w:szCs w:val="24"/>
        </w:rPr>
      </w:pPr>
    </w:p>
    <w:p w:rsidR="00FE111C" w:rsidRPr="004654B3" w:rsidRDefault="00FE111C" w:rsidP="00FE111C">
      <w:pPr>
        <w:jc w:val="both"/>
        <w:rPr>
          <w:sz w:val="24"/>
          <w:szCs w:val="24"/>
        </w:rPr>
      </w:pPr>
    </w:p>
    <w:p w:rsidR="004654B3" w:rsidRDefault="004654B3" w:rsidP="00FE111C">
      <w:pPr>
        <w:jc w:val="both"/>
        <w:rPr>
          <w:sz w:val="24"/>
          <w:szCs w:val="24"/>
        </w:rPr>
      </w:pPr>
    </w:p>
    <w:p w:rsidR="004654B3" w:rsidRDefault="004654B3" w:rsidP="004654B3">
      <w:pPr>
        <w:pStyle w:val="NoSpacing"/>
      </w:pPr>
    </w:p>
    <w:p w:rsidR="00FE111C" w:rsidRPr="004654B3" w:rsidRDefault="00FE111C" w:rsidP="004654B3">
      <w:pPr>
        <w:pStyle w:val="NoSpacing"/>
        <w:rPr>
          <w:sz w:val="20"/>
          <w:szCs w:val="20"/>
        </w:rPr>
      </w:pPr>
      <w:r w:rsidRPr="004654B3">
        <w:rPr>
          <w:sz w:val="20"/>
          <w:szCs w:val="20"/>
        </w:rPr>
        <w:t>Chart 7.1- Source: PCHC Annual Report, 2015</w:t>
      </w:r>
    </w:p>
    <w:p w:rsidR="004654B3" w:rsidRDefault="004654B3" w:rsidP="004654B3">
      <w:pPr>
        <w:pStyle w:val="NoSpacing"/>
        <w:rPr>
          <w:b/>
          <w:u w:val="single"/>
        </w:rPr>
      </w:pPr>
    </w:p>
    <w:p w:rsidR="00FE111C" w:rsidRPr="004654B3" w:rsidRDefault="00FE111C" w:rsidP="004654B3">
      <w:pPr>
        <w:pStyle w:val="NoSpacing"/>
        <w:rPr>
          <w:sz w:val="24"/>
          <w:szCs w:val="24"/>
        </w:rPr>
      </w:pPr>
      <w:r w:rsidRPr="004654B3">
        <w:rPr>
          <w:b/>
          <w:sz w:val="24"/>
          <w:szCs w:val="24"/>
          <w:u w:val="single"/>
        </w:rPr>
        <w:t>Tuberculosis:</w:t>
      </w:r>
      <w:r w:rsidRPr="004654B3">
        <w:rPr>
          <w:sz w:val="24"/>
          <w:szCs w:val="24"/>
        </w:rPr>
        <w:t xml:space="preserve"> The Pulaski County Health Department offers TB skin testing, TB medications (if indicated) and TB counseling / prevention education for residents of the community.  When indicated (positive case), the health department offers case management to the clients – this includes monthly health assessments, medications as ordered, interaction with physician concerning the health status of the client, and frequent follow care with the patient and/or family.  Visits related to the prevention and treatment of tuberculosis in 2014 was </w:t>
      </w:r>
      <w:r w:rsidRPr="00584AC6">
        <w:rPr>
          <w:sz w:val="24"/>
          <w:szCs w:val="24"/>
        </w:rPr>
        <w:t>173</w:t>
      </w:r>
      <w:r w:rsidRPr="004654B3">
        <w:rPr>
          <w:b/>
          <w:sz w:val="24"/>
          <w:szCs w:val="24"/>
        </w:rPr>
        <w:t xml:space="preserve">.  </w:t>
      </w:r>
      <w:r w:rsidRPr="004654B3">
        <w:rPr>
          <w:sz w:val="24"/>
          <w:szCs w:val="24"/>
        </w:rPr>
        <w:t xml:space="preserve">This number can be misleading related to the decreased number of clients tested related to the New Day Care Requirements for employment.  </w:t>
      </w:r>
    </w:p>
    <w:p w:rsidR="00FE111C" w:rsidRPr="004654B3" w:rsidRDefault="00FE111C" w:rsidP="00952417">
      <w:pPr>
        <w:pStyle w:val="NoSpacing"/>
        <w:rPr>
          <w:b/>
          <w:sz w:val="24"/>
          <w:szCs w:val="24"/>
        </w:rPr>
      </w:pPr>
    </w:p>
    <w:p w:rsidR="0035596B" w:rsidRDefault="00584AC6" w:rsidP="00952417">
      <w:pPr>
        <w:pStyle w:val="NoSpacing"/>
        <w:rPr>
          <w:b/>
          <w:sz w:val="24"/>
          <w:szCs w:val="24"/>
        </w:rPr>
      </w:pPr>
      <w:r>
        <w:rPr>
          <w:b/>
          <w:sz w:val="24"/>
          <w:szCs w:val="24"/>
        </w:rPr>
        <w:t>Community Health Needs Assessment (CHNA)</w:t>
      </w:r>
    </w:p>
    <w:p w:rsidR="00584AC6" w:rsidRDefault="00584AC6" w:rsidP="00952417">
      <w:pPr>
        <w:pStyle w:val="NoSpacing"/>
        <w:rPr>
          <w:sz w:val="24"/>
          <w:szCs w:val="24"/>
        </w:rPr>
      </w:pPr>
    </w:p>
    <w:p w:rsidR="00584AC6" w:rsidRDefault="00584AC6" w:rsidP="00952417">
      <w:pPr>
        <w:pStyle w:val="NoSpacing"/>
        <w:rPr>
          <w:sz w:val="24"/>
          <w:szCs w:val="24"/>
        </w:rPr>
      </w:pPr>
      <w:r>
        <w:rPr>
          <w:sz w:val="24"/>
          <w:szCs w:val="24"/>
        </w:rPr>
        <w:t>A CHNA was completed during May and June 2015 in which there were 291 respondents. Among the items they were asked what they felt were the Top 5 Community Health Problems. The results showed that the top 5 selected were:</w:t>
      </w:r>
    </w:p>
    <w:p w:rsidR="00584AC6" w:rsidRDefault="00584AC6" w:rsidP="00584AC6">
      <w:pPr>
        <w:pStyle w:val="NoSpacing"/>
        <w:numPr>
          <w:ilvl w:val="0"/>
          <w:numId w:val="1"/>
        </w:numPr>
        <w:rPr>
          <w:sz w:val="24"/>
          <w:szCs w:val="24"/>
        </w:rPr>
      </w:pPr>
      <w:r>
        <w:rPr>
          <w:sz w:val="24"/>
          <w:szCs w:val="24"/>
        </w:rPr>
        <w:t>Stress/Depression/Anxiety</w:t>
      </w:r>
      <w:r w:rsidR="00E4426C">
        <w:rPr>
          <w:sz w:val="24"/>
          <w:szCs w:val="24"/>
        </w:rPr>
        <w:t xml:space="preserve"> (130)</w:t>
      </w:r>
    </w:p>
    <w:p w:rsidR="00584AC6" w:rsidRDefault="00584AC6" w:rsidP="00584AC6">
      <w:pPr>
        <w:pStyle w:val="NoSpacing"/>
        <w:numPr>
          <w:ilvl w:val="0"/>
          <w:numId w:val="1"/>
        </w:numPr>
        <w:rPr>
          <w:sz w:val="24"/>
          <w:szCs w:val="24"/>
        </w:rPr>
      </w:pPr>
      <w:r>
        <w:rPr>
          <w:sz w:val="24"/>
          <w:szCs w:val="24"/>
        </w:rPr>
        <w:t>Cancer</w:t>
      </w:r>
      <w:r w:rsidR="00E4426C">
        <w:rPr>
          <w:sz w:val="24"/>
          <w:szCs w:val="24"/>
        </w:rPr>
        <w:t xml:space="preserve"> (124)</w:t>
      </w:r>
    </w:p>
    <w:p w:rsidR="00584AC6" w:rsidRDefault="00584AC6" w:rsidP="00584AC6">
      <w:pPr>
        <w:pStyle w:val="NoSpacing"/>
        <w:numPr>
          <w:ilvl w:val="0"/>
          <w:numId w:val="1"/>
        </w:numPr>
        <w:rPr>
          <w:sz w:val="24"/>
          <w:szCs w:val="24"/>
        </w:rPr>
      </w:pPr>
      <w:r>
        <w:rPr>
          <w:sz w:val="24"/>
          <w:szCs w:val="24"/>
        </w:rPr>
        <w:t>Diabetes</w:t>
      </w:r>
      <w:r w:rsidR="00E4426C">
        <w:rPr>
          <w:sz w:val="24"/>
          <w:szCs w:val="24"/>
        </w:rPr>
        <w:t xml:space="preserve"> (123)</w:t>
      </w:r>
    </w:p>
    <w:p w:rsidR="00584AC6" w:rsidRDefault="00584AC6" w:rsidP="00584AC6">
      <w:pPr>
        <w:pStyle w:val="NoSpacing"/>
        <w:numPr>
          <w:ilvl w:val="0"/>
          <w:numId w:val="1"/>
        </w:numPr>
        <w:rPr>
          <w:sz w:val="24"/>
          <w:szCs w:val="24"/>
        </w:rPr>
      </w:pPr>
      <w:r>
        <w:rPr>
          <w:sz w:val="24"/>
          <w:szCs w:val="24"/>
        </w:rPr>
        <w:t>Heart Disease/Stroke</w:t>
      </w:r>
      <w:r w:rsidR="00E4426C">
        <w:rPr>
          <w:sz w:val="24"/>
          <w:szCs w:val="24"/>
        </w:rPr>
        <w:t xml:space="preserve"> (118)</w:t>
      </w:r>
    </w:p>
    <w:p w:rsidR="00584AC6" w:rsidRDefault="00584AC6" w:rsidP="00584AC6">
      <w:pPr>
        <w:pStyle w:val="NoSpacing"/>
        <w:numPr>
          <w:ilvl w:val="0"/>
          <w:numId w:val="1"/>
        </w:numPr>
        <w:rPr>
          <w:sz w:val="24"/>
          <w:szCs w:val="24"/>
        </w:rPr>
      </w:pPr>
      <w:r>
        <w:rPr>
          <w:sz w:val="24"/>
          <w:szCs w:val="24"/>
        </w:rPr>
        <w:t>High Blood Pressure</w:t>
      </w:r>
      <w:r w:rsidR="00E4426C">
        <w:rPr>
          <w:sz w:val="24"/>
          <w:szCs w:val="24"/>
        </w:rPr>
        <w:t xml:space="preserve"> (113)</w:t>
      </w:r>
    </w:p>
    <w:p w:rsidR="00584AC6" w:rsidRDefault="00584AC6" w:rsidP="00584AC6">
      <w:pPr>
        <w:pStyle w:val="NoSpacing"/>
        <w:rPr>
          <w:sz w:val="24"/>
          <w:szCs w:val="24"/>
        </w:rPr>
      </w:pPr>
    </w:p>
    <w:p w:rsidR="00584AC6" w:rsidRDefault="00584AC6" w:rsidP="00584AC6">
      <w:pPr>
        <w:pStyle w:val="NoSpacing"/>
        <w:rPr>
          <w:sz w:val="24"/>
          <w:szCs w:val="24"/>
        </w:rPr>
      </w:pPr>
      <w:r>
        <w:rPr>
          <w:sz w:val="24"/>
          <w:szCs w:val="24"/>
        </w:rPr>
        <w:t xml:space="preserve">Among the top 10 </w:t>
      </w:r>
      <w:r w:rsidR="00E4426C">
        <w:rPr>
          <w:sz w:val="24"/>
          <w:szCs w:val="24"/>
        </w:rPr>
        <w:t>was</w:t>
      </w:r>
      <w:r>
        <w:rPr>
          <w:sz w:val="24"/>
          <w:szCs w:val="24"/>
        </w:rPr>
        <w:t xml:space="preserve"> also motor</w:t>
      </w:r>
      <w:r w:rsidR="00E4426C">
        <w:rPr>
          <w:sz w:val="24"/>
          <w:szCs w:val="24"/>
        </w:rPr>
        <w:t>-</w:t>
      </w:r>
      <w:r>
        <w:rPr>
          <w:sz w:val="24"/>
          <w:szCs w:val="24"/>
        </w:rPr>
        <w:t>vehicle accidents, child abuse, access to health care, tobacco related illness, and clean environment.</w:t>
      </w:r>
      <w:r w:rsidR="00E4426C">
        <w:rPr>
          <w:sz w:val="24"/>
          <w:szCs w:val="24"/>
        </w:rPr>
        <w:t xml:space="preserve"> </w:t>
      </w:r>
    </w:p>
    <w:p w:rsidR="00E4426C" w:rsidRDefault="00E4426C" w:rsidP="00584AC6">
      <w:pPr>
        <w:pStyle w:val="NoSpacing"/>
        <w:rPr>
          <w:sz w:val="24"/>
          <w:szCs w:val="24"/>
        </w:rPr>
      </w:pPr>
    </w:p>
    <w:p w:rsidR="00E04BEF" w:rsidRDefault="00E04BEF" w:rsidP="00584AC6">
      <w:pPr>
        <w:pStyle w:val="NoSpacing"/>
        <w:rPr>
          <w:b/>
          <w:sz w:val="24"/>
          <w:szCs w:val="24"/>
        </w:rPr>
      </w:pPr>
    </w:p>
    <w:p w:rsidR="00E04BEF" w:rsidRDefault="00E04BEF" w:rsidP="00584AC6">
      <w:pPr>
        <w:pStyle w:val="NoSpacing"/>
        <w:rPr>
          <w:b/>
          <w:sz w:val="24"/>
          <w:szCs w:val="24"/>
        </w:rPr>
      </w:pPr>
    </w:p>
    <w:p w:rsidR="00E04BEF" w:rsidRDefault="00E04BEF" w:rsidP="00584AC6">
      <w:pPr>
        <w:pStyle w:val="NoSpacing"/>
        <w:rPr>
          <w:b/>
          <w:sz w:val="24"/>
          <w:szCs w:val="24"/>
        </w:rPr>
      </w:pPr>
    </w:p>
    <w:p w:rsidR="00E04BEF" w:rsidRDefault="00E04BEF" w:rsidP="00584AC6">
      <w:pPr>
        <w:pStyle w:val="NoSpacing"/>
        <w:rPr>
          <w:b/>
          <w:sz w:val="24"/>
          <w:szCs w:val="24"/>
        </w:rPr>
      </w:pPr>
    </w:p>
    <w:p w:rsidR="00E04BEF" w:rsidRDefault="00E04BEF" w:rsidP="00584AC6">
      <w:pPr>
        <w:pStyle w:val="NoSpacing"/>
        <w:rPr>
          <w:b/>
          <w:sz w:val="24"/>
          <w:szCs w:val="24"/>
        </w:rPr>
      </w:pPr>
    </w:p>
    <w:p w:rsidR="00E4426C" w:rsidRDefault="00E4426C" w:rsidP="00584AC6">
      <w:pPr>
        <w:pStyle w:val="NoSpacing"/>
        <w:rPr>
          <w:b/>
          <w:sz w:val="24"/>
          <w:szCs w:val="24"/>
        </w:rPr>
      </w:pPr>
      <w:r>
        <w:rPr>
          <w:b/>
          <w:sz w:val="24"/>
          <w:szCs w:val="24"/>
        </w:rPr>
        <w:lastRenderedPageBreak/>
        <w:t>Leading Causes of Death</w:t>
      </w:r>
    </w:p>
    <w:p w:rsidR="00E4426C" w:rsidRDefault="00E4426C" w:rsidP="00584AC6">
      <w:pPr>
        <w:pStyle w:val="NoSpacing"/>
        <w:rPr>
          <w:b/>
          <w:sz w:val="24"/>
          <w:szCs w:val="24"/>
        </w:rPr>
      </w:pPr>
    </w:p>
    <w:p w:rsidR="00E4426C" w:rsidRDefault="00E04BEF" w:rsidP="00584AC6">
      <w:pPr>
        <w:pStyle w:val="NoSpacing"/>
        <w:rPr>
          <w:sz w:val="24"/>
          <w:szCs w:val="24"/>
        </w:rPr>
      </w:pPr>
      <w:r>
        <w:rPr>
          <w:sz w:val="24"/>
          <w:szCs w:val="24"/>
        </w:rPr>
        <w:t xml:space="preserve">According to the Missouri Department of Health &amp; Senior Services Death MICA, the two leading causes of death in 2014 for both men and women in Pulaski County are Cancer and Heart Disease.  </w:t>
      </w:r>
      <w:r w:rsidR="00235991">
        <w:rPr>
          <w:sz w:val="24"/>
          <w:szCs w:val="24"/>
        </w:rPr>
        <w:t>The top 5 causes of Death for Pulaski County are:</w:t>
      </w:r>
    </w:p>
    <w:p w:rsidR="00235991" w:rsidRDefault="00235991" w:rsidP="00584AC6">
      <w:pPr>
        <w:pStyle w:val="NoSpacing"/>
        <w:rPr>
          <w:sz w:val="24"/>
          <w:szCs w:val="24"/>
        </w:rPr>
      </w:pPr>
    </w:p>
    <w:p w:rsidR="00235991" w:rsidRDefault="00235991" w:rsidP="00235991">
      <w:pPr>
        <w:pStyle w:val="NoSpacing"/>
        <w:numPr>
          <w:ilvl w:val="0"/>
          <w:numId w:val="2"/>
        </w:numPr>
        <w:rPr>
          <w:sz w:val="24"/>
          <w:szCs w:val="24"/>
        </w:rPr>
      </w:pPr>
      <w:r>
        <w:rPr>
          <w:sz w:val="24"/>
          <w:szCs w:val="24"/>
        </w:rPr>
        <w:t>Cancer</w:t>
      </w:r>
    </w:p>
    <w:p w:rsidR="00235991" w:rsidRDefault="00235991" w:rsidP="00235991">
      <w:pPr>
        <w:pStyle w:val="NoSpacing"/>
        <w:numPr>
          <w:ilvl w:val="0"/>
          <w:numId w:val="2"/>
        </w:numPr>
        <w:rPr>
          <w:sz w:val="24"/>
          <w:szCs w:val="24"/>
        </w:rPr>
      </w:pPr>
      <w:r>
        <w:rPr>
          <w:sz w:val="24"/>
          <w:szCs w:val="24"/>
        </w:rPr>
        <w:t>Heart Disease</w:t>
      </w:r>
    </w:p>
    <w:p w:rsidR="00235991" w:rsidRDefault="00235991" w:rsidP="00235991">
      <w:pPr>
        <w:pStyle w:val="NoSpacing"/>
        <w:numPr>
          <w:ilvl w:val="0"/>
          <w:numId w:val="2"/>
        </w:numPr>
        <w:rPr>
          <w:sz w:val="24"/>
          <w:szCs w:val="24"/>
        </w:rPr>
      </w:pPr>
      <w:r>
        <w:rPr>
          <w:sz w:val="24"/>
          <w:szCs w:val="24"/>
        </w:rPr>
        <w:t>Chronic lower respiratory disease</w:t>
      </w:r>
    </w:p>
    <w:p w:rsidR="00235991" w:rsidRDefault="00235991" w:rsidP="00235991">
      <w:pPr>
        <w:pStyle w:val="NoSpacing"/>
        <w:numPr>
          <w:ilvl w:val="0"/>
          <w:numId w:val="2"/>
        </w:numPr>
        <w:rPr>
          <w:sz w:val="24"/>
          <w:szCs w:val="24"/>
        </w:rPr>
      </w:pPr>
      <w:r>
        <w:rPr>
          <w:sz w:val="24"/>
          <w:szCs w:val="24"/>
        </w:rPr>
        <w:t>Stroke</w:t>
      </w:r>
    </w:p>
    <w:p w:rsidR="00235991" w:rsidRDefault="00235991" w:rsidP="00235991">
      <w:pPr>
        <w:pStyle w:val="NoSpacing"/>
        <w:numPr>
          <w:ilvl w:val="0"/>
          <w:numId w:val="2"/>
        </w:numPr>
        <w:rPr>
          <w:sz w:val="24"/>
          <w:szCs w:val="24"/>
        </w:rPr>
      </w:pPr>
      <w:r>
        <w:rPr>
          <w:sz w:val="24"/>
          <w:szCs w:val="24"/>
        </w:rPr>
        <w:t>Unintentional injury</w:t>
      </w:r>
    </w:p>
    <w:p w:rsidR="00235991" w:rsidRDefault="00235991" w:rsidP="00235991">
      <w:pPr>
        <w:pStyle w:val="NoSpacing"/>
        <w:rPr>
          <w:sz w:val="24"/>
          <w:szCs w:val="24"/>
        </w:rPr>
      </w:pPr>
    </w:p>
    <w:p w:rsidR="00235991" w:rsidRDefault="00235991" w:rsidP="00235991">
      <w:pPr>
        <w:pStyle w:val="NoSpacing"/>
        <w:rPr>
          <w:b/>
          <w:sz w:val="24"/>
          <w:szCs w:val="24"/>
        </w:rPr>
      </w:pPr>
      <w:r>
        <w:rPr>
          <w:b/>
          <w:sz w:val="24"/>
          <w:szCs w:val="24"/>
        </w:rPr>
        <w:t>Summary</w:t>
      </w:r>
    </w:p>
    <w:p w:rsidR="00235991" w:rsidRDefault="00235991" w:rsidP="00235991">
      <w:pPr>
        <w:pStyle w:val="NoSpacing"/>
        <w:rPr>
          <w:b/>
          <w:sz w:val="24"/>
          <w:szCs w:val="24"/>
        </w:rPr>
      </w:pPr>
    </w:p>
    <w:p w:rsidR="00235991" w:rsidRPr="00235991" w:rsidRDefault="00235991" w:rsidP="00235991">
      <w:pPr>
        <w:pStyle w:val="NoSpacing"/>
        <w:rPr>
          <w:sz w:val="24"/>
          <w:szCs w:val="24"/>
        </w:rPr>
      </w:pPr>
      <w:r>
        <w:rPr>
          <w:sz w:val="24"/>
          <w:szCs w:val="24"/>
        </w:rPr>
        <w:t xml:space="preserve">After assessing risk factors for health, the community’s top health concerns and the leading causes of death, there is confirmation that our strategic direction is correct. Our strategic goals include chronic disease prevention to reduce prevalence or heart disease and COPD, </w:t>
      </w:r>
      <w:r w:rsidR="009660BB">
        <w:rPr>
          <w:sz w:val="24"/>
          <w:szCs w:val="24"/>
        </w:rPr>
        <w:t>s</w:t>
      </w:r>
      <w:r>
        <w:rPr>
          <w:sz w:val="24"/>
          <w:szCs w:val="24"/>
        </w:rPr>
        <w:t>moking-attributable diseases, and obesity</w:t>
      </w:r>
      <w:r w:rsidR="009660BB">
        <w:rPr>
          <w:sz w:val="24"/>
          <w:szCs w:val="24"/>
        </w:rPr>
        <w:t>-</w:t>
      </w:r>
      <w:r>
        <w:rPr>
          <w:sz w:val="24"/>
          <w:szCs w:val="24"/>
        </w:rPr>
        <w:t xml:space="preserve">attributable diseases. </w:t>
      </w:r>
      <w:r w:rsidR="009660BB">
        <w:rPr>
          <w:sz w:val="24"/>
          <w:szCs w:val="24"/>
        </w:rPr>
        <w:t>The next Community Health Assessment is due to be completed in late 2016.</w:t>
      </w:r>
    </w:p>
    <w:p w:rsidR="00E4426C" w:rsidRPr="00584AC6" w:rsidRDefault="00E4426C" w:rsidP="00584AC6">
      <w:pPr>
        <w:pStyle w:val="NoSpacing"/>
        <w:rPr>
          <w:sz w:val="24"/>
          <w:szCs w:val="24"/>
        </w:rPr>
      </w:pPr>
    </w:p>
    <w:p w:rsidR="00584AC6" w:rsidRPr="00584AC6" w:rsidRDefault="00584AC6" w:rsidP="00952417">
      <w:pPr>
        <w:pStyle w:val="NoSpacing"/>
        <w:rPr>
          <w:b/>
          <w:sz w:val="24"/>
          <w:szCs w:val="24"/>
        </w:rPr>
      </w:pPr>
    </w:p>
    <w:p w:rsidR="0035596B" w:rsidRPr="00867972" w:rsidRDefault="0035596B" w:rsidP="00952417">
      <w:pPr>
        <w:pStyle w:val="NoSpacing"/>
        <w:rPr>
          <w:sz w:val="24"/>
          <w:szCs w:val="24"/>
        </w:rPr>
      </w:pPr>
    </w:p>
    <w:sectPr w:rsidR="0035596B" w:rsidRPr="00867972" w:rsidSect="0007513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D1" w:rsidRDefault="00B84DD1" w:rsidP="008D7FFC">
      <w:pPr>
        <w:spacing w:after="0" w:line="240" w:lineRule="auto"/>
      </w:pPr>
      <w:r>
        <w:separator/>
      </w:r>
    </w:p>
  </w:endnote>
  <w:endnote w:type="continuationSeparator" w:id="0">
    <w:p w:rsidR="00B84DD1" w:rsidRDefault="00B84DD1" w:rsidP="008D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075865"/>
      <w:docPartObj>
        <w:docPartGallery w:val="Page Numbers (Bottom of Page)"/>
        <w:docPartUnique/>
      </w:docPartObj>
    </w:sdtPr>
    <w:sdtEndPr>
      <w:rPr>
        <w:color w:val="7F7F7F" w:themeColor="background1" w:themeShade="7F"/>
        <w:spacing w:val="60"/>
      </w:rPr>
    </w:sdtEndPr>
    <w:sdtContent>
      <w:p w:rsidR="00E04BEF" w:rsidRDefault="00B84D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60BB">
          <w:rPr>
            <w:noProof/>
          </w:rPr>
          <w:t>2</w:t>
        </w:r>
        <w:r>
          <w:rPr>
            <w:noProof/>
          </w:rPr>
          <w:fldChar w:fldCharType="end"/>
        </w:r>
        <w:r w:rsidR="00E04BEF">
          <w:t xml:space="preserve"> | </w:t>
        </w:r>
        <w:r w:rsidR="00E04BEF">
          <w:rPr>
            <w:color w:val="7F7F7F" w:themeColor="background1" w:themeShade="7F"/>
            <w:spacing w:val="60"/>
          </w:rPr>
          <w:t>Page</w:t>
        </w:r>
      </w:p>
    </w:sdtContent>
  </w:sdt>
  <w:p w:rsidR="00E04BEF" w:rsidRDefault="00E04BEF">
    <w:pPr>
      <w:pStyle w:val="Footer"/>
    </w:pPr>
    <w:r>
      <w:t>Pulaski County Community Health Assessment Update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D1" w:rsidRDefault="00B84DD1" w:rsidP="008D7FFC">
      <w:pPr>
        <w:spacing w:after="0" w:line="240" w:lineRule="auto"/>
      </w:pPr>
      <w:r>
        <w:separator/>
      </w:r>
    </w:p>
  </w:footnote>
  <w:footnote w:type="continuationSeparator" w:id="0">
    <w:p w:rsidR="00B84DD1" w:rsidRDefault="00B84DD1" w:rsidP="008D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635D2"/>
    <w:multiLevelType w:val="hybridMultilevel"/>
    <w:tmpl w:val="EA8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16650"/>
    <w:multiLevelType w:val="hybridMultilevel"/>
    <w:tmpl w:val="A7A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134"/>
    <w:rsid w:val="0000758E"/>
    <w:rsid w:val="00075134"/>
    <w:rsid w:val="000870EC"/>
    <w:rsid w:val="00235991"/>
    <w:rsid w:val="003457BA"/>
    <w:rsid w:val="0035596B"/>
    <w:rsid w:val="004654B3"/>
    <w:rsid w:val="00514734"/>
    <w:rsid w:val="00546AAE"/>
    <w:rsid w:val="00584AC6"/>
    <w:rsid w:val="00614B4E"/>
    <w:rsid w:val="006F53D8"/>
    <w:rsid w:val="00867972"/>
    <w:rsid w:val="008D7FFC"/>
    <w:rsid w:val="008E6CDE"/>
    <w:rsid w:val="00952417"/>
    <w:rsid w:val="009660BB"/>
    <w:rsid w:val="009B7D70"/>
    <w:rsid w:val="00A425D3"/>
    <w:rsid w:val="00B43236"/>
    <w:rsid w:val="00B84DD1"/>
    <w:rsid w:val="00DB3F0D"/>
    <w:rsid w:val="00E04BEF"/>
    <w:rsid w:val="00E4426C"/>
    <w:rsid w:val="00ED7414"/>
    <w:rsid w:val="00F07291"/>
    <w:rsid w:val="00F950CE"/>
    <w:rsid w:val="00FA4E0E"/>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831C87B-7DE5-4491-BE63-CB32C04F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5134"/>
    <w:pPr>
      <w:spacing w:after="0" w:line="240" w:lineRule="auto"/>
    </w:pPr>
    <w:rPr>
      <w:rFonts w:eastAsiaTheme="minorEastAsia"/>
    </w:rPr>
  </w:style>
  <w:style w:type="character" w:customStyle="1" w:styleId="NoSpacingChar">
    <w:name w:val="No Spacing Char"/>
    <w:basedOn w:val="DefaultParagraphFont"/>
    <w:link w:val="NoSpacing"/>
    <w:uiPriority w:val="1"/>
    <w:rsid w:val="00075134"/>
    <w:rPr>
      <w:rFonts w:eastAsiaTheme="minorEastAsia"/>
    </w:rPr>
  </w:style>
  <w:style w:type="paragraph" w:styleId="BalloonText">
    <w:name w:val="Balloon Text"/>
    <w:basedOn w:val="Normal"/>
    <w:link w:val="BalloonTextChar"/>
    <w:uiPriority w:val="99"/>
    <w:semiHidden/>
    <w:unhideWhenUsed/>
    <w:rsid w:val="0007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34"/>
    <w:rPr>
      <w:rFonts w:ascii="Tahoma" w:hAnsi="Tahoma" w:cs="Tahoma"/>
      <w:sz w:val="16"/>
      <w:szCs w:val="16"/>
    </w:rPr>
  </w:style>
  <w:style w:type="table" w:styleId="TableGrid">
    <w:name w:val="Table Grid"/>
    <w:basedOn w:val="TableNormal"/>
    <w:uiPriority w:val="59"/>
    <w:rsid w:val="00DB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B3F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8D7F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semiHidden/>
    <w:unhideWhenUsed/>
    <w:rsid w:val="008D7F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FFC"/>
  </w:style>
  <w:style w:type="paragraph" w:styleId="Footer">
    <w:name w:val="footer"/>
    <w:basedOn w:val="Normal"/>
    <w:link w:val="FooterChar"/>
    <w:uiPriority w:val="99"/>
    <w:unhideWhenUsed/>
    <w:rsid w:val="008D7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Estimated Population, 2014</a:t>
            </a:r>
          </a:p>
          <a:p>
            <a:pPr>
              <a:defRPr/>
            </a:pPr>
            <a:r>
              <a:rPr lang="en-US"/>
              <a:t>19 and Under, by Gender</a:t>
            </a:r>
          </a:p>
        </c:rich>
      </c:tx>
      <c:overlay val="0"/>
    </c:title>
    <c:autoTitleDeleted val="0"/>
    <c:plotArea>
      <c:layout/>
      <c:barChart>
        <c:barDir val="col"/>
        <c:grouping val="clustered"/>
        <c:varyColors val="0"/>
        <c:ser>
          <c:idx val="0"/>
          <c:order val="0"/>
          <c:tx>
            <c:strRef>
              <c:f>Sheet1!$B$1</c:f>
              <c:strCache>
                <c:ptCount val="1"/>
                <c:pt idx="0">
                  <c:v>Male</c:v>
                </c:pt>
              </c:strCache>
            </c:strRef>
          </c:tx>
          <c:invertIfNegative val="0"/>
          <c:cat>
            <c:strRef>
              <c:f>Sheet1!$A$2:$A$7</c:f>
              <c:strCache>
                <c:ptCount val="6"/>
                <c:pt idx="0">
                  <c:v>Under 1</c:v>
                </c:pt>
                <c:pt idx="1">
                  <c:v>1 to 4</c:v>
                </c:pt>
                <c:pt idx="2">
                  <c:v>5 to 9</c:v>
                </c:pt>
                <c:pt idx="3">
                  <c:v>10 to 14</c:v>
                </c:pt>
                <c:pt idx="4">
                  <c:v>15-17</c:v>
                </c:pt>
                <c:pt idx="5">
                  <c:v>18 to 19</c:v>
                </c:pt>
              </c:strCache>
            </c:strRef>
          </c:cat>
          <c:val>
            <c:numRef>
              <c:f>Sheet1!$B$2:$B$7</c:f>
              <c:numCache>
                <c:formatCode>General</c:formatCode>
                <c:ptCount val="6"/>
                <c:pt idx="0">
                  <c:v>426</c:v>
                </c:pt>
                <c:pt idx="1">
                  <c:v>1540</c:v>
                </c:pt>
                <c:pt idx="2">
                  <c:v>1761</c:v>
                </c:pt>
                <c:pt idx="3">
                  <c:v>1606</c:v>
                </c:pt>
                <c:pt idx="4">
                  <c:v>951</c:v>
                </c:pt>
                <c:pt idx="5">
                  <c:v>3176</c:v>
                </c:pt>
              </c:numCache>
            </c:numRef>
          </c:val>
          <c:extLst>
            <c:ext xmlns:c16="http://schemas.microsoft.com/office/drawing/2014/chart" uri="{C3380CC4-5D6E-409C-BE32-E72D297353CC}">
              <c16:uniqueId val="{00000000-BE3C-4C9F-843A-9492397B618D}"/>
            </c:ext>
          </c:extLst>
        </c:ser>
        <c:ser>
          <c:idx val="1"/>
          <c:order val="1"/>
          <c:tx>
            <c:strRef>
              <c:f>Sheet1!$C$1</c:f>
              <c:strCache>
                <c:ptCount val="1"/>
                <c:pt idx="0">
                  <c:v>Female</c:v>
                </c:pt>
              </c:strCache>
            </c:strRef>
          </c:tx>
          <c:invertIfNegative val="0"/>
          <c:cat>
            <c:strRef>
              <c:f>Sheet1!$A$2:$A$7</c:f>
              <c:strCache>
                <c:ptCount val="6"/>
                <c:pt idx="0">
                  <c:v>Under 1</c:v>
                </c:pt>
                <c:pt idx="1">
                  <c:v>1 to 4</c:v>
                </c:pt>
                <c:pt idx="2">
                  <c:v>5 to 9</c:v>
                </c:pt>
                <c:pt idx="3">
                  <c:v>10 to 14</c:v>
                </c:pt>
                <c:pt idx="4">
                  <c:v>15-17</c:v>
                </c:pt>
                <c:pt idx="5">
                  <c:v>18 to 19</c:v>
                </c:pt>
              </c:strCache>
            </c:strRef>
          </c:cat>
          <c:val>
            <c:numRef>
              <c:f>Sheet1!$C$2:$C$7</c:f>
              <c:numCache>
                <c:formatCode>General</c:formatCode>
                <c:ptCount val="6"/>
                <c:pt idx="0">
                  <c:v>393</c:v>
                </c:pt>
                <c:pt idx="1">
                  <c:v>1517</c:v>
                </c:pt>
                <c:pt idx="2">
                  <c:v>1655</c:v>
                </c:pt>
                <c:pt idx="3">
                  <c:v>1451</c:v>
                </c:pt>
                <c:pt idx="4">
                  <c:v>839</c:v>
                </c:pt>
                <c:pt idx="5">
                  <c:v>1037</c:v>
                </c:pt>
              </c:numCache>
            </c:numRef>
          </c:val>
          <c:extLst>
            <c:ext xmlns:c16="http://schemas.microsoft.com/office/drawing/2014/chart" uri="{C3380CC4-5D6E-409C-BE32-E72D297353CC}">
              <c16:uniqueId val="{00000001-BE3C-4C9F-843A-9492397B618D}"/>
            </c:ext>
          </c:extLst>
        </c:ser>
        <c:dLbls>
          <c:showLegendKey val="0"/>
          <c:showVal val="0"/>
          <c:showCatName val="0"/>
          <c:showSerName val="0"/>
          <c:showPercent val="0"/>
          <c:showBubbleSize val="0"/>
        </c:dLbls>
        <c:gapWidth val="150"/>
        <c:axId val="157632000"/>
        <c:axId val="157633536"/>
      </c:barChart>
      <c:catAx>
        <c:axId val="157632000"/>
        <c:scaling>
          <c:orientation val="minMax"/>
        </c:scaling>
        <c:delete val="0"/>
        <c:axPos val="b"/>
        <c:numFmt formatCode="General" sourceLinked="0"/>
        <c:majorTickMark val="none"/>
        <c:minorTickMark val="none"/>
        <c:tickLblPos val="nextTo"/>
        <c:crossAx val="157633536"/>
        <c:crosses val="autoZero"/>
        <c:auto val="1"/>
        <c:lblAlgn val="ctr"/>
        <c:lblOffset val="100"/>
        <c:noMultiLvlLbl val="0"/>
      </c:catAx>
      <c:valAx>
        <c:axId val="157633536"/>
        <c:scaling>
          <c:orientation val="minMax"/>
        </c:scaling>
        <c:delete val="0"/>
        <c:axPos val="l"/>
        <c:majorGridlines/>
        <c:numFmt formatCode="General" sourceLinked="1"/>
        <c:majorTickMark val="none"/>
        <c:minorTickMark val="none"/>
        <c:tickLblPos val="nextTo"/>
        <c:crossAx val="157632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WIC Participation</a:t>
            </a:r>
            <a:r>
              <a:rPr lang="en-US" baseline="0"/>
              <a:t> Trend</a:t>
            </a:r>
            <a:endParaRPr lang="en-US"/>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20983</c:v>
                </c:pt>
                <c:pt idx="1">
                  <c:v>20139</c:v>
                </c:pt>
                <c:pt idx="2">
                  <c:v>19189</c:v>
                </c:pt>
                <c:pt idx="3">
                  <c:v>19240</c:v>
                </c:pt>
                <c:pt idx="4">
                  <c:v>18455</c:v>
                </c:pt>
              </c:numCache>
            </c:numRef>
          </c:val>
          <c:smooth val="0"/>
          <c:extLst>
            <c:ext xmlns:c16="http://schemas.microsoft.com/office/drawing/2014/chart" uri="{C3380CC4-5D6E-409C-BE32-E72D297353CC}">
              <c16:uniqueId val="{00000000-4D75-4022-8A74-0C79E87DD291}"/>
            </c:ext>
          </c:extLst>
        </c:ser>
        <c:ser>
          <c:idx val="1"/>
          <c:order val="1"/>
          <c:tx>
            <c:strRef>
              <c:f>Sheet1!$C$1</c:f>
              <c:strCache>
                <c:ptCount val="1"/>
                <c:pt idx="0">
                  <c:v>Series 2</c:v>
                </c:pt>
              </c:strCache>
            </c:strRef>
          </c:tx>
          <c:marker>
            <c:symbol val="none"/>
          </c:marker>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numCache>
            </c:numRef>
          </c:val>
          <c:smooth val="0"/>
          <c:extLst>
            <c:ext xmlns:c16="http://schemas.microsoft.com/office/drawing/2014/chart" uri="{C3380CC4-5D6E-409C-BE32-E72D297353CC}">
              <c16:uniqueId val="{00000001-4D75-4022-8A74-0C79E87DD291}"/>
            </c:ext>
          </c:extLst>
        </c:ser>
        <c:ser>
          <c:idx val="2"/>
          <c:order val="2"/>
          <c:tx>
            <c:strRef>
              <c:f>Sheet1!$D$1</c:f>
              <c:strCache>
                <c:ptCount val="1"/>
                <c:pt idx="0">
                  <c:v>Series 3</c:v>
                </c:pt>
              </c:strCache>
            </c:strRef>
          </c:tx>
          <c:marker>
            <c:symbol val="none"/>
          </c:marker>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numCache>
            </c:numRef>
          </c:val>
          <c:smooth val="0"/>
          <c:extLst>
            <c:ext xmlns:c16="http://schemas.microsoft.com/office/drawing/2014/chart" uri="{C3380CC4-5D6E-409C-BE32-E72D297353CC}">
              <c16:uniqueId val="{00000002-4D75-4022-8A74-0C79E87DD291}"/>
            </c:ext>
          </c:extLst>
        </c:ser>
        <c:dLbls>
          <c:showLegendKey val="0"/>
          <c:showVal val="0"/>
          <c:showCatName val="0"/>
          <c:showSerName val="0"/>
          <c:showPercent val="0"/>
          <c:showBubbleSize val="0"/>
        </c:dLbls>
        <c:smooth val="0"/>
        <c:axId val="169874560"/>
        <c:axId val="169899904"/>
      </c:lineChart>
      <c:catAx>
        <c:axId val="169874560"/>
        <c:scaling>
          <c:orientation val="minMax"/>
        </c:scaling>
        <c:delete val="0"/>
        <c:axPos val="b"/>
        <c:numFmt formatCode="General" sourceLinked="1"/>
        <c:majorTickMark val="out"/>
        <c:minorTickMark val="none"/>
        <c:tickLblPos val="nextTo"/>
        <c:crossAx val="169899904"/>
        <c:crosses val="autoZero"/>
        <c:auto val="1"/>
        <c:lblAlgn val="ctr"/>
        <c:lblOffset val="100"/>
        <c:noMultiLvlLbl val="0"/>
      </c:catAx>
      <c:valAx>
        <c:axId val="169899904"/>
        <c:scaling>
          <c:orientation val="minMax"/>
        </c:scaling>
        <c:delete val="0"/>
        <c:axPos val="l"/>
        <c:majorGridlines/>
        <c:numFmt formatCode="General" sourceLinked="1"/>
        <c:majorTickMark val="out"/>
        <c:minorTickMark val="none"/>
        <c:tickLblPos val="nextTo"/>
        <c:crossAx val="1698745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1"/>
    <c:view3D>
      <c:rotX val="15"/>
      <c:hPercent val="45"/>
      <c:rotY val="20"/>
      <c:depthPercent val="100"/>
      <c:rAngAx val="1"/>
    </c:view3D>
    <c:floor>
      <c:thickness val="0"/>
    </c:floor>
    <c:sideWall>
      <c:thickness val="0"/>
    </c:sideWall>
    <c:backWall>
      <c:thickness val="0"/>
    </c:backWall>
    <c:plotArea>
      <c:layout>
        <c:manualLayout>
          <c:layoutTarget val="inner"/>
          <c:xMode val="edge"/>
          <c:yMode val="edge"/>
          <c:x val="0.1029678112498055"/>
          <c:y val="6.4433751336638631E-2"/>
          <c:w val="0.76331360946745552"/>
          <c:h val="0.74634146341463559"/>
        </c:manualLayout>
      </c:layout>
      <c:bar3DChart>
        <c:barDir val="col"/>
        <c:grouping val="clustered"/>
        <c:varyColors val="0"/>
        <c:ser>
          <c:idx val="0"/>
          <c:order val="0"/>
          <c:tx>
            <c:strRef>
              <c:f>Sheet1!$A$2</c:f>
              <c:strCache>
                <c:ptCount val="1"/>
                <c:pt idx="0">
                  <c:v>STD Cases</c:v>
                </c:pt>
              </c:strCache>
            </c:strRef>
          </c:tx>
          <c:invertIfNegative val="0"/>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344</c:v>
                </c:pt>
                <c:pt idx="1">
                  <c:v>339</c:v>
                </c:pt>
                <c:pt idx="2">
                  <c:v>360</c:v>
                </c:pt>
                <c:pt idx="3">
                  <c:v>352</c:v>
                </c:pt>
                <c:pt idx="4">
                  <c:v>394</c:v>
                </c:pt>
              </c:numCache>
            </c:numRef>
          </c:val>
          <c:extLst>
            <c:ext xmlns:c16="http://schemas.microsoft.com/office/drawing/2014/chart" uri="{C3380CC4-5D6E-409C-BE32-E72D297353CC}">
              <c16:uniqueId val="{00000000-5DDA-4463-BC94-720CC9B8AEEA}"/>
            </c:ext>
          </c:extLst>
        </c:ser>
        <c:dLbls>
          <c:showLegendKey val="0"/>
          <c:showVal val="0"/>
          <c:showCatName val="0"/>
          <c:showSerName val="0"/>
          <c:showPercent val="0"/>
          <c:showBubbleSize val="0"/>
        </c:dLbls>
        <c:gapWidth val="150"/>
        <c:gapDepth val="0"/>
        <c:shape val="box"/>
        <c:axId val="171639168"/>
        <c:axId val="171641856"/>
        <c:axId val="0"/>
      </c:bar3DChart>
      <c:catAx>
        <c:axId val="171639168"/>
        <c:scaling>
          <c:orientation val="minMax"/>
        </c:scaling>
        <c:delete val="0"/>
        <c:axPos val="b"/>
        <c:numFmt formatCode="General" sourceLinked="1"/>
        <c:majorTickMark val="out"/>
        <c:minorTickMark val="none"/>
        <c:tickLblPos val="low"/>
        <c:txPr>
          <a:bodyPr rot="0" vert="horz"/>
          <a:lstStyle/>
          <a:p>
            <a:pPr>
              <a:defRPr/>
            </a:pPr>
            <a:endParaRPr lang="en-US"/>
          </a:p>
        </c:txPr>
        <c:crossAx val="171641856"/>
        <c:crosses val="autoZero"/>
        <c:auto val="1"/>
        <c:lblAlgn val="ctr"/>
        <c:lblOffset val="100"/>
        <c:tickLblSkip val="1"/>
        <c:tickMarkSkip val="1"/>
        <c:noMultiLvlLbl val="0"/>
      </c:catAx>
      <c:valAx>
        <c:axId val="171641856"/>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171639168"/>
        <c:crosses val="autoZero"/>
        <c:crossBetween val="between"/>
      </c:valAx>
    </c:plotArea>
    <c:legend>
      <c:legendPos val="r"/>
      <c:layout>
        <c:manualLayout>
          <c:xMode val="edge"/>
          <c:yMode val="edge"/>
          <c:x val="0.85207100591715978"/>
          <c:y val="0.35121951219512193"/>
          <c:w val="0.14003944773175572"/>
          <c:h val="0.29756097560975736"/>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0C165733DC4BB690B0D42C1DCDBAD4"/>
        <w:category>
          <w:name w:val="General"/>
          <w:gallery w:val="placeholder"/>
        </w:category>
        <w:types>
          <w:type w:val="bbPlcHdr"/>
        </w:types>
        <w:behaviors>
          <w:behavior w:val="content"/>
        </w:behaviors>
        <w:guid w:val="{D0D7CF5D-F6DF-41C1-902C-D3A5318427D7}"/>
      </w:docPartPr>
      <w:docPartBody>
        <w:p w:rsidR="00A1654F" w:rsidRDefault="00A1654F" w:rsidP="00A1654F">
          <w:pPr>
            <w:pStyle w:val="E80C165733DC4BB690B0D42C1DCDBAD4"/>
          </w:pPr>
          <w:r>
            <w:rPr>
              <w:rFonts w:asciiTheme="majorHAnsi" w:eastAsiaTheme="majorEastAsia" w:hAnsiTheme="majorHAnsi" w:cstheme="majorBidi"/>
              <w:sz w:val="72"/>
              <w:szCs w:val="72"/>
            </w:rPr>
            <w:t>[Type the document title]</w:t>
          </w:r>
        </w:p>
      </w:docPartBody>
    </w:docPart>
    <w:docPart>
      <w:docPartPr>
        <w:name w:val="FA3C40B1857B4CDA88B30BF2F67DE03A"/>
        <w:category>
          <w:name w:val="General"/>
          <w:gallery w:val="placeholder"/>
        </w:category>
        <w:types>
          <w:type w:val="bbPlcHdr"/>
        </w:types>
        <w:behaviors>
          <w:behavior w:val="content"/>
        </w:behaviors>
        <w:guid w:val="{7592FE81-5596-4B6E-A9DF-27A3E7346402}"/>
      </w:docPartPr>
      <w:docPartBody>
        <w:p w:rsidR="00A1654F" w:rsidRDefault="00A1654F" w:rsidP="00A1654F">
          <w:pPr>
            <w:pStyle w:val="FA3C40B1857B4CDA88B30BF2F67DE03A"/>
          </w:pPr>
          <w:r>
            <w:rPr>
              <w:rFonts w:asciiTheme="majorHAnsi" w:eastAsiaTheme="majorEastAsia" w:hAnsiTheme="majorHAnsi" w:cstheme="majorBidi"/>
              <w:sz w:val="36"/>
              <w:szCs w:val="36"/>
            </w:rPr>
            <w:t>[Type the document subtitle]</w:t>
          </w:r>
        </w:p>
      </w:docPartBody>
    </w:docPart>
    <w:docPart>
      <w:docPartPr>
        <w:name w:val="1112E85AB811466285DB5E4E9B589B3A"/>
        <w:category>
          <w:name w:val="General"/>
          <w:gallery w:val="placeholder"/>
        </w:category>
        <w:types>
          <w:type w:val="bbPlcHdr"/>
        </w:types>
        <w:behaviors>
          <w:behavior w:val="content"/>
        </w:behaviors>
        <w:guid w:val="{B74ACB3D-18A7-486A-A79B-BD6442D52D29}"/>
      </w:docPartPr>
      <w:docPartBody>
        <w:p w:rsidR="00A1654F" w:rsidRDefault="00A1654F" w:rsidP="00A1654F">
          <w:pPr>
            <w:pStyle w:val="1112E85AB811466285DB5E4E9B589B3A"/>
          </w:pPr>
          <w:r>
            <w:t>[Type the company name]</w:t>
          </w:r>
        </w:p>
      </w:docPartBody>
    </w:docPart>
    <w:docPart>
      <w:docPartPr>
        <w:name w:val="C06BA7EECEE24499B8CD5092C18EA0E4"/>
        <w:category>
          <w:name w:val="General"/>
          <w:gallery w:val="placeholder"/>
        </w:category>
        <w:types>
          <w:type w:val="bbPlcHdr"/>
        </w:types>
        <w:behaviors>
          <w:behavior w:val="content"/>
        </w:behaviors>
        <w:guid w:val="{1BDD16D8-3871-4B0B-985E-780E07D60C74}"/>
      </w:docPartPr>
      <w:docPartBody>
        <w:p w:rsidR="00A1654F" w:rsidRDefault="00A1654F" w:rsidP="00A1654F">
          <w:pPr>
            <w:pStyle w:val="C06BA7EECEE24499B8CD5092C18EA0E4"/>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654F"/>
    <w:rsid w:val="00883E34"/>
    <w:rsid w:val="00A1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C165733DC4BB690B0D42C1DCDBAD4">
    <w:name w:val="E80C165733DC4BB690B0D42C1DCDBAD4"/>
    <w:rsid w:val="00A1654F"/>
  </w:style>
  <w:style w:type="paragraph" w:customStyle="1" w:styleId="FA3C40B1857B4CDA88B30BF2F67DE03A">
    <w:name w:val="FA3C40B1857B4CDA88B30BF2F67DE03A"/>
    <w:rsid w:val="00A1654F"/>
  </w:style>
  <w:style w:type="paragraph" w:customStyle="1" w:styleId="4BAD855074044F00B6ACE6A748480CF9">
    <w:name w:val="4BAD855074044F00B6ACE6A748480CF9"/>
    <w:rsid w:val="00A1654F"/>
  </w:style>
  <w:style w:type="paragraph" w:customStyle="1" w:styleId="1112E85AB811466285DB5E4E9B589B3A">
    <w:name w:val="1112E85AB811466285DB5E4E9B589B3A"/>
    <w:rsid w:val="00A1654F"/>
  </w:style>
  <w:style w:type="paragraph" w:customStyle="1" w:styleId="C06BA7EECEE24499B8CD5092C18EA0E4">
    <w:name w:val="C06BA7EECEE24499B8CD5092C18EA0E4"/>
    <w:rsid w:val="00A1654F"/>
  </w:style>
  <w:style w:type="paragraph" w:customStyle="1" w:styleId="3CB2D0FFCB2949CA96349F672D868B4D">
    <w:name w:val="3CB2D0FFCB2949CA96349F672D868B4D"/>
    <w:rsid w:val="00A1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Pulaski County Community Health Assessment</vt:lpstr>
    </vt:vector>
  </TitlesOfParts>
  <Company>Pulaski County Health Center</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Pulaski County Community Health Assessment</dc:title>
  <dc:subject>Annual Update 2015</dc:subject>
  <dc:creator>&amp; Home Health Agency</dc:creator>
  <cp:lastModifiedBy>Shawn Bolerjack</cp:lastModifiedBy>
  <cp:revision>2</cp:revision>
  <dcterms:created xsi:type="dcterms:W3CDTF">2019-04-25T01:48:00Z</dcterms:created>
  <dcterms:modified xsi:type="dcterms:W3CDTF">2019-04-25T01:48:00Z</dcterms:modified>
</cp:coreProperties>
</file>